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D89F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32ED3962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51BF3479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36CFFD24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2F4CF7ED" w14:textId="1E82DC71" w:rsidR="00D1550E" w:rsidRPr="002E1A15" w:rsidRDefault="002E1A15" w:rsidP="002E1A15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يقدم وصف الدورة هذا مسحًا مختصرًا لأهم الخصائص، ومخرجات التعلم المتوقعة، ويوضح ما إذا كان الطلاب قد استفادوا بشكل كامل من فرص التعلم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</w:rPr>
              <w:t>ويجب أن تتطابق هذه الخصائص مع وصف البرنامج</w:t>
            </w:r>
            <w:r w:rsidRPr="002E1A1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"/>
              </w:rPr>
              <w:t>.</w:t>
            </w:r>
          </w:p>
        </w:tc>
      </w:tr>
    </w:tbl>
    <w:p w14:paraId="642F10D6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CF02EF" w:rsidRPr="00DB131F" w14:paraId="15291CD1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7CA5DBDF" w14:textId="77777777" w:rsidR="00CF02EF" w:rsidRPr="00DB131F" w:rsidRDefault="00CF02EF" w:rsidP="00CF02E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14:paraId="01F0FD11" w14:textId="344D6C44" w:rsidR="00CF02EF" w:rsidRPr="00CF02E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62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 شط العرب</w:t>
            </w:r>
          </w:p>
        </w:tc>
      </w:tr>
      <w:tr w:rsidR="00CF02EF" w:rsidRPr="00DB131F" w14:paraId="37BB771F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654334C6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14:paraId="5E4C7F46" w14:textId="4F9192C4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اللغة الأنكليزية</w:t>
            </w:r>
          </w:p>
        </w:tc>
      </w:tr>
      <w:tr w:rsidR="00CF02EF" w:rsidRPr="00DB131F" w14:paraId="5CB65E6E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DD5C02C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14:paraId="7C3A1EA3" w14:textId="02DEC8C9" w:rsidR="00CF02EF" w:rsidRPr="00DB131F" w:rsidRDefault="009B33C3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مهارات التواصل</w:t>
            </w:r>
          </w:p>
        </w:tc>
      </w:tr>
      <w:tr w:rsidR="00CF02EF" w:rsidRPr="00DB131F" w14:paraId="1D785648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5B518EAE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14:paraId="62DB988D" w14:textId="2010163A" w:rsidR="00CF02EF" w:rsidRPr="00DB131F" w:rsidRDefault="00CF02EF" w:rsidP="00CF02E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CF02EF" w:rsidRPr="00DB131F" w14:paraId="35B5FA37" w14:textId="77777777" w:rsidTr="0033356D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C92C1B4" w14:textId="77777777" w:rsidR="00CF02EF" w:rsidRPr="00DB131F" w:rsidRDefault="00CF02EF" w:rsidP="00CF02E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14:paraId="151DDD0D" w14:textId="0B8D564F" w:rsidR="00CF02EF" w:rsidRPr="00DB131F" w:rsidRDefault="00CF02EF" w:rsidP="00B623D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 w:rsidR="00B623D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/202</w:t>
            </w:r>
            <w:r w:rsidR="00B623D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7575CD66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214CD63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BC1D0D9" w14:textId="23076A04" w:rsidR="00807DE1" w:rsidRPr="00DB131F" w:rsidRDefault="00B623D6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90</w:t>
            </w:r>
          </w:p>
        </w:tc>
      </w:tr>
      <w:tr w:rsidR="00807DE1" w:rsidRPr="00DB131F" w14:paraId="535FEAAC" w14:textId="77777777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14:paraId="4355C794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D6469E" w14:textId="3F0179E4" w:rsidR="00807DE1" w:rsidRPr="00DB131F" w:rsidRDefault="00B623D6" w:rsidP="00B623D6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  <w:r w:rsidR="00CF02EF"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/9/</w:t>
            </w:r>
            <w:r w:rsidR="00B3459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202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</w:tr>
      <w:tr w:rsidR="00807DE1" w:rsidRPr="00DB131F" w14:paraId="10F4D030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1BAA912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7A6BC0" w:rsidRPr="00DB131F" w14:paraId="24E07179" w14:textId="77777777" w:rsidTr="0029221B">
        <w:trPr>
          <w:trHeight w:val="518"/>
        </w:trPr>
        <w:tc>
          <w:tcPr>
            <w:tcW w:w="9720" w:type="dxa"/>
            <w:gridSpan w:val="2"/>
            <w:shd w:val="clear" w:color="auto" w:fill="auto"/>
          </w:tcPr>
          <w:p w14:paraId="284D08A4" w14:textId="1ACEF392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تزويد الطلاب بأهم مبادئ وأساسيات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التواصل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باللغة الانكليزية بستخدام مجموعة متنوعة من المحادثات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اللغوي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2E513F04" w14:textId="08455D17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تعليم الطلاب كيفية تطبيق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وممارسة  التواصل اللغوي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في مواقف متعددة في الحياة اليومية والاكاديمية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DEB4235" w14:textId="36D618AD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تزويد الخريجين بالمعرفة اللازمة حول استخدام اللغة الإنجليزي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ة كلغة أجنبية في كل من النماذج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المنطوقة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اكاديميا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في الوظائف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بالاضافة الى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المنظمات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4557EF94" w14:textId="00C84D88" w:rsidR="002E1A15" w:rsidRPr="002E1A15" w:rsidRDefault="002E1A15" w:rsidP="009B33C3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-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تحسين المهارات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اللغوية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في مجال وظيفتهم المستقبلية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598ED236" w14:textId="1CFE3D09" w:rsidR="002E1A15" w:rsidRPr="002E1A15" w:rsidRDefault="002E1A15" w:rsidP="002E1A1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ه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إكساب الخريجين مهارات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التحدث و 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التعليم والتعلم الإبداعي</w:t>
            </w:r>
            <w:r w:rsidRPr="002E1A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AE38134" w14:textId="41CD535F" w:rsidR="007A6BC0" w:rsidRPr="002E1A15" w:rsidRDefault="007A6BC0" w:rsidP="007A6BC0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4BBEB36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576AB259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6DF47CF5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71CAA22A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3348D72D" w14:textId="77777777" w:rsidR="008A3F48" w:rsidRPr="00422D48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22D4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</w:t>
            </w:r>
            <w:r w:rsidR="00B86BB1" w:rsidRPr="00422D48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422D48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771FE708" w14:textId="64C66E5E" w:rsidR="00675725" w:rsidRPr="00675725" w:rsidRDefault="00675725" w:rsidP="009B33C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تمكين الطلبة من اكتساب المعرفة وفن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التواصل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اللغوي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DEF0DB4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تعريف الطلاب بكيفية تعزيز معارفهم الشخصية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6ED662A" w14:textId="75397DB6" w:rsidR="00675725" w:rsidRPr="00675725" w:rsidRDefault="00675725" w:rsidP="009B33C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مساعدة الطلاب على اكتساب المعرفة في فن فهم </w:t>
            </w:r>
            <w:r w:rsidR="009B33C3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المتحدثين باللغة الانكليزية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 xml:space="preserve"> وإجراء المقارنات والتوصل إلى الاستنتاجات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C7546CE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تمكين الطلاب من صقل مهاراتهم في بيئة العمل الديناميكية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A2A15E5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ه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تمكين الطلبة من استثمار قدراتهم العلمية في مكان عملهم في مجال الترجمة والبريد الإلكتروني والتواصل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0B96A97E" w14:textId="33C49938" w:rsid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مساعدة الطلاب في الحصول على المعرفة اللازمة لحل المشكلات وإدارة المخاطر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836C9BF" w14:textId="77777777" w:rsidR="00422D48" w:rsidRDefault="00422D48" w:rsidP="00422D4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66E138B" w14:textId="3E98564F" w:rsidR="009B33C3" w:rsidRPr="00675725" w:rsidRDefault="00422D48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.ت</w:t>
            </w:r>
            <w:r w:rsidR="009B33C3" w:rsidRPr="009B33C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رك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</w:t>
            </w:r>
            <w:r w:rsidR="009B33C3" w:rsidRPr="009B33C3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ز على مهارات الاستماع والتحدث للطلاب الذين درسوا القواعد النحوية ولكنهم يفتقرون إلى الثقة في التحدث.</w:t>
            </w:r>
          </w:p>
          <w:p w14:paraId="0CD2105E" w14:textId="438C442A" w:rsidR="008A3F48" w:rsidRPr="00675725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04CE7A5B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05BC120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62F3240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العلمية</w:t>
            </w:r>
          </w:p>
          <w:p w14:paraId="24B8FBC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مهارات القيادة</w:t>
            </w:r>
          </w:p>
          <w:p w14:paraId="679FCAB8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المهارات المتعلقة بتحديات العمل الإداري</w:t>
            </w:r>
          </w:p>
          <w:p w14:paraId="1B0D7309" w14:textId="3B28E556" w:rsidR="008A3F48" w:rsidRPr="00675725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707798A" w14:textId="1A256663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18D17F81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0038A9A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1FA9BD4C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5FF8B0DE" w14:textId="77777777" w:rsidR="00675725" w:rsidRPr="00675725" w:rsidRDefault="007A6BC0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المحاضرات المعدة مسبقاً</w:t>
            </w:r>
            <w:r w:rsidR="00675725"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62A62437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استخدام ما يصل إلى أحدث البيانات يظهر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1AC83D95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العمل في المنزل</w:t>
            </w:r>
          </w:p>
          <w:p w14:paraId="0EEF2A50" w14:textId="77777777" w:rsidR="00675725" w:rsidRPr="00675725" w:rsidRDefault="00675725" w:rsidP="00675725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د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اعتماد المناقشات الجماعية</w:t>
            </w:r>
            <w:r w:rsidRPr="0067572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81539CD" w14:textId="083706D9" w:rsidR="008A3F48" w:rsidRPr="00DB131F" w:rsidRDefault="007A6BC0" w:rsidP="000B1D9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7A6BC0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21574FB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D98D3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AEF0BE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3833A4B4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4DCFCE8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2F41883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B516CF1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1. الأمتحانات الفصلية والنهائية.</w:t>
            </w:r>
          </w:p>
          <w:p w14:paraId="2DCD5615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2. الأختبارات السريعة.</w:t>
            </w:r>
          </w:p>
          <w:p w14:paraId="396C3946" w14:textId="77777777" w:rsidR="00CF02EF" w:rsidRPr="00CF02E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3. المناقشات وأجابات الطلبة وتقييمها.</w:t>
            </w:r>
          </w:p>
          <w:p w14:paraId="5A3B58E0" w14:textId="6A533E37" w:rsidR="008A3F48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02E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4.التقارير والنشاطات الصفية.</w:t>
            </w:r>
          </w:p>
          <w:p w14:paraId="1686A398" w14:textId="02DD419F" w:rsidR="00CF02EF" w:rsidRPr="00DB131F" w:rsidRDefault="00CF02EF" w:rsidP="00CF02E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5. تمارين</w:t>
            </w:r>
          </w:p>
          <w:p w14:paraId="31CD625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367D933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6C99CD5A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71416325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22045BC3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C41005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4B6BB7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283818B5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3524DA4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61D7487C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</w:p>
          <w:p w14:paraId="1B04A3B4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14:paraId="1C08DE06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14:paraId="1B3A5769" w14:textId="7777777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14:paraId="0B18AF20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08A98ED4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4D030A28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B21F5" w:rsidRPr="00DB131F" w14:paraId="1A849B61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6BD91CE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35B09E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C55EF6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D8DABC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4C4733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542E64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DB131F" w14:paraId="6C01F131" w14:textId="77777777" w:rsidTr="00221F12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14:paraId="6C49A50A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04D517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13A299B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F5AD2B5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525AD2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7307E0" w14:textId="77777777" w:rsidR="007B21F5" w:rsidRPr="00DB131F" w:rsidRDefault="007B21F5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578FA61" w14:textId="77777777" w:rsidTr="00221F12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14:paraId="218ED652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FC0C274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0F0E4F6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8C7EE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EDD723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B63246B" w14:textId="77777777" w:rsidR="007B21F5" w:rsidRPr="00DB131F" w:rsidRDefault="007B21F5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6D405C4E" w14:textId="77777777" w:rsidTr="00221F12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14:paraId="6D2A4F7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36E46B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3E5973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E7EC1C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59A5B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3667F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02F1C3FB" w14:textId="77777777" w:rsidTr="00221F12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921FEC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387F4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78605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7160D9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3C45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5608597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50358449" w14:textId="77777777" w:rsidTr="00221F12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14:paraId="0FF82AA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894AE5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0B183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8AC0A4F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1451DD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956AF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4468AF2F" w14:textId="77777777" w:rsidTr="00221F12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14:paraId="3020B65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2000EE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749ACD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774DDA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BF27710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CE9CF8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DB131F" w14:paraId="1EA1C36E" w14:textId="77777777" w:rsidTr="00221F12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14:paraId="7F1576C9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7AFF9E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AD415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3AF9013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3705F6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EC9F22" w14:textId="77777777" w:rsidR="007B21F5" w:rsidRPr="00DB131F" w:rsidRDefault="007B21F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3ED311E7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5AEA9415" w14:textId="77777777" w:rsidTr="000B1D90">
        <w:trPr>
          <w:trHeight w:val="477"/>
          <w:jc w:val="center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2629493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AC56FE" w:rsidRPr="00DB131F" w14:paraId="14B12761" w14:textId="77777777" w:rsidTr="000B1D90">
        <w:trPr>
          <w:trHeight w:val="1175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743FCACF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</w:tcPr>
          <w:p w14:paraId="304B7ECD" w14:textId="5B4C5863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  <w:r w:rsidRPr="009B33C3">
              <w:rPr>
                <w:rFonts w:ascii="Georgia" w:hAnsi="Georgia"/>
                <w:color w:val="1E1915"/>
                <w:u w:val="none"/>
              </w:rPr>
              <w:t>Person to Person 2</w:t>
            </w:r>
            <w:r w:rsidRPr="009B33C3">
              <w:rPr>
                <w:rFonts w:ascii="Georgia" w:hAnsi="Georgia" w:cs="Times New Roman"/>
                <w:color w:val="1E1915"/>
                <w:u w:val="none"/>
                <w:lang w:val="en-GB"/>
              </w:rPr>
              <w:t>:</w:t>
            </w:r>
            <w:r w:rsidRPr="009B33C3">
              <w:rPr>
                <w:rFonts w:ascii="Georgia" w:hAnsi="Georgia"/>
                <w:color w:val="1E1915"/>
                <w:u w:val="none"/>
              </w:rPr>
              <w:t xml:space="preserve"> </w:t>
            </w:r>
            <w:r w:rsidRPr="009B33C3">
              <w:rPr>
                <w:rFonts w:ascii="Georgia" w:hAnsi="Georgia"/>
                <w:color w:val="1E1915"/>
                <w:u w:val="none"/>
              </w:rPr>
              <w:t>Communicative Speaking and Listening Skills</w:t>
            </w:r>
          </w:p>
          <w:p w14:paraId="0FB0BF4A" w14:textId="6E988D79" w:rsidR="009B33C3" w:rsidRPr="009B33C3" w:rsidRDefault="009B33C3" w:rsidP="009B33C3">
            <w:pPr>
              <w:pStyle w:val="Heading1"/>
              <w:shd w:val="clear" w:color="auto" w:fill="FFFFFF"/>
              <w:bidi w:val="0"/>
              <w:rPr>
                <w:rFonts w:ascii="Georgia" w:hAnsi="Georgia" w:cs="Times New Roman"/>
                <w:color w:val="1E1915"/>
                <w:u w:val="none"/>
              </w:rPr>
            </w:pPr>
          </w:p>
          <w:p w14:paraId="4E545797" w14:textId="0326495E" w:rsidR="00AC56FE" w:rsidRPr="007A6BC0" w:rsidRDefault="00AC56FE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AC56FE" w:rsidRPr="00DB131F" w14:paraId="5AA5A801" w14:textId="77777777" w:rsidTr="000B1D90">
        <w:trPr>
          <w:trHeight w:val="716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6B4080D0" w14:textId="77777777" w:rsidR="00AC56FE" w:rsidRPr="00DB131F" w:rsidRDefault="00AC56FE" w:rsidP="00AC56FE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</w:tcPr>
          <w:p w14:paraId="3967F51D" w14:textId="12E178AC" w:rsidR="00AC56FE" w:rsidRPr="00530670" w:rsidRDefault="009B33C3" w:rsidP="009B33C3">
            <w:pPr>
              <w:rPr>
                <w:sz w:val="28"/>
                <w:szCs w:val="28"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249A9DD5" w14:textId="1D5E97D9" w:rsidR="00AC56FE" w:rsidRPr="00422D48" w:rsidRDefault="00422D48" w:rsidP="00AC56FE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val="en-GB" w:bidi="ar-IQ"/>
              </w:rPr>
            </w:pPr>
            <w:hyperlink r:id="rId8" w:history="1">
              <w:r w:rsidRPr="00132DDC">
                <w:rPr>
                  <w:rStyle w:val="Hyperlink"/>
                  <w:rFonts w:ascii="Cambria" w:hAnsi="Cambria"/>
                  <w:sz w:val="28"/>
                  <w:szCs w:val="28"/>
                  <w:lang w:val="en-GB" w:bidi="ar-IQ"/>
                </w:rPr>
                <w:t>https://www.goodreads.com/</w:t>
              </w:r>
            </w:hyperlink>
          </w:p>
        </w:tc>
      </w:tr>
      <w:tr w:rsidR="00AC56FE" w:rsidRPr="00DB131F" w14:paraId="2AA63B49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202B0DF9" w14:textId="77777777" w:rsidR="00AC56FE" w:rsidRPr="00DB131F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</w:tcPr>
          <w:p w14:paraId="2EC3DA9B" w14:textId="18DB6BF9" w:rsidR="00AC56FE" w:rsidRPr="00DB131F" w:rsidRDefault="00AC56FE" w:rsidP="00422D48">
            <w:pPr>
              <w:autoSpaceDE w:val="0"/>
              <w:autoSpaceDN w:val="0"/>
              <w:adjustRightInd w:val="0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C56FE" w:rsidRPr="00DB131F" w14:paraId="4D52DCF1" w14:textId="77777777" w:rsidTr="001E7A99">
        <w:trPr>
          <w:trHeight w:val="1247"/>
          <w:jc w:val="center"/>
        </w:trPr>
        <w:tc>
          <w:tcPr>
            <w:tcW w:w="4007" w:type="dxa"/>
            <w:shd w:val="clear" w:color="auto" w:fill="auto"/>
            <w:vAlign w:val="center"/>
          </w:tcPr>
          <w:p w14:paraId="463D243B" w14:textId="77777777" w:rsidR="00AC56FE" w:rsidRDefault="00AC56FE" w:rsidP="00AC56F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</w:tcPr>
          <w:p w14:paraId="32A3B491" w14:textId="3E5342A7" w:rsidR="00AC56FE" w:rsidRPr="00422D48" w:rsidRDefault="00422D48" w:rsidP="00AC56FE">
            <w:pPr>
              <w:autoSpaceDE w:val="0"/>
              <w:autoSpaceDN w:val="0"/>
              <w:adjustRightInd w:val="0"/>
              <w:jc w:val="right"/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</w:pPr>
            <w:hyperlink r:id="rId9" w:history="1">
              <w:r w:rsidRPr="00132DDC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mailto:Interchange_</w:t>
              </w:r>
              <w:r w:rsidRPr="00132DDC">
                <w:rPr>
                  <w:rStyle w:val="Hyperlink"/>
                  <w:rFonts w:ascii="Cambria" w:hAnsi="Cambria"/>
                  <w:sz w:val="28"/>
                  <w:szCs w:val="28"/>
                  <w:rtl/>
                  <w:lang w:bidi="ar-IQ"/>
                </w:rPr>
                <w:t>2</w:t>
              </w:r>
              <w:r w:rsidRPr="00132DDC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_https://Student_s_Book</w:t>
              </w:r>
            </w:hyperlink>
          </w:p>
        </w:tc>
      </w:tr>
    </w:tbl>
    <w:p w14:paraId="7EF2E137" w14:textId="77777777" w:rsidR="00F80574" w:rsidRPr="00422D48" w:rsidRDefault="00F80574" w:rsidP="00F80574">
      <w:pPr>
        <w:rPr>
          <w:rFonts w:hint="cs"/>
          <w:rtl/>
          <w:lang w:bidi="ar-IQ"/>
        </w:rPr>
      </w:pPr>
      <w:bookmarkStart w:id="0" w:name="_GoBack"/>
      <w:bookmarkEnd w:id="0"/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720BEBA2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46B6E8C0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AAB3388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2671EDD3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أ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المزيد من الدراسة العملية لزيادة مشاركة الطلاب وحل المشكلات والتفكير النقدي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7BBD9190" w14:textId="77777777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ب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- 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 التجارب والتطورات في مجال علم اللغة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32864051" w14:textId="689FD0CB" w:rsidR="00AC56FE" w:rsidRPr="00AC56FE" w:rsidRDefault="00AC56FE" w:rsidP="00AC56FE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ج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.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الاطلاع على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ا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</w:rPr>
              <w:t>لأعمال البحثية المنشورة في المجلات الوطنية والدولية في مجال اللغويات</w:t>
            </w:r>
            <w:r w:rsidRPr="00AC56F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"/>
              </w:rPr>
              <w:t>.</w:t>
            </w:r>
          </w:p>
          <w:p w14:paraId="4E5B968B" w14:textId="77777777" w:rsidR="00221F12" w:rsidRPr="00AC56FE" w:rsidRDefault="00221F1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04E4A481" w14:textId="77777777"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0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B8F8" w14:textId="77777777" w:rsidR="005F5029" w:rsidRDefault="005F5029">
      <w:r>
        <w:separator/>
      </w:r>
    </w:p>
  </w:endnote>
  <w:endnote w:type="continuationSeparator" w:id="0">
    <w:p w14:paraId="3AC8FD99" w14:textId="77777777" w:rsidR="005F5029" w:rsidRDefault="005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2ABB3643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83F7CB3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69FBC3E" w14:textId="3336C77D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422D48" w:rsidRPr="00422D48">
            <w:rPr>
              <w:rFonts w:ascii="Cambria" w:hAnsi="Cambria" w:cs="Times New Roman"/>
              <w:b/>
              <w:bCs/>
              <w:noProof/>
              <w:rtl/>
              <w:lang w:val="ar-SA"/>
            </w:rPr>
            <w:t>3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905488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3D9C3CE0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6B1D610F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6121698B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9DAE551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2DD83F28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2E7B2" w14:textId="77777777" w:rsidR="005F5029" w:rsidRDefault="005F5029">
      <w:r>
        <w:separator/>
      </w:r>
    </w:p>
  </w:footnote>
  <w:footnote w:type="continuationSeparator" w:id="0">
    <w:p w14:paraId="6B054D91" w14:textId="77777777" w:rsidR="005F5029" w:rsidRDefault="005F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A"/>
    <w:rsid w:val="00005774"/>
    <w:rsid w:val="00007B9F"/>
    <w:rsid w:val="0003475C"/>
    <w:rsid w:val="000428A6"/>
    <w:rsid w:val="00056F46"/>
    <w:rsid w:val="00057CAA"/>
    <w:rsid w:val="00063AD7"/>
    <w:rsid w:val="00070BE9"/>
    <w:rsid w:val="0008002F"/>
    <w:rsid w:val="00090A55"/>
    <w:rsid w:val="000A1C7A"/>
    <w:rsid w:val="000A67F9"/>
    <w:rsid w:val="000A69B4"/>
    <w:rsid w:val="000B1D90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9433A"/>
    <w:rsid w:val="001B0307"/>
    <w:rsid w:val="001C1CD7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75116"/>
    <w:rsid w:val="00285875"/>
    <w:rsid w:val="00297E64"/>
    <w:rsid w:val="002B28B2"/>
    <w:rsid w:val="002D2398"/>
    <w:rsid w:val="002E1A15"/>
    <w:rsid w:val="002F032D"/>
    <w:rsid w:val="002F1537"/>
    <w:rsid w:val="002F3596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832C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22D48"/>
    <w:rsid w:val="004361D7"/>
    <w:rsid w:val="00455221"/>
    <w:rsid w:val="004662C5"/>
    <w:rsid w:val="0048407D"/>
    <w:rsid w:val="004A4634"/>
    <w:rsid w:val="004A6A6D"/>
    <w:rsid w:val="004D2002"/>
    <w:rsid w:val="004D3497"/>
    <w:rsid w:val="004D7799"/>
    <w:rsid w:val="004E0EBA"/>
    <w:rsid w:val="004E3ECF"/>
    <w:rsid w:val="004E60C2"/>
    <w:rsid w:val="004F0938"/>
    <w:rsid w:val="00516004"/>
    <w:rsid w:val="00534329"/>
    <w:rsid w:val="00535D14"/>
    <w:rsid w:val="00581B3C"/>
    <w:rsid w:val="005827E2"/>
    <w:rsid w:val="00584D07"/>
    <w:rsid w:val="00584DA6"/>
    <w:rsid w:val="00595034"/>
    <w:rsid w:val="005B2143"/>
    <w:rsid w:val="005C02D2"/>
    <w:rsid w:val="005C050F"/>
    <w:rsid w:val="005C71F0"/>
    <w:rsid w:val="005D644B"/>
    <w:rsid w:val="005D69BE"/>
    <w:rsid w:val="005F5029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71EDD"/>
    <w:rsid w:val="00675725"/>
    <w:rsid w:val="00677895"/>
    <w:rsid w:val="006D4F39"/>
    <w:rsid w:val="006E1E39"/>
    <w:rsid w:val="0075633E"/>
    <w:rsid w:val="007645B4"/>
    <w:rsid w:val="007676A8"/>
    <w:rsid w:val="007716A6"/>
    <w:rsid w:val="0078752C"/>
    <w:rsid w:val="0079031B"/>
    <w:rsid w:val="007A6BC0"/>
    <w:rsid w:val="007A7C20"/>
    <w:rsid w:val="007B0B99"/>
    <w:rsid w:val="007B21F5"/>
    <w:rsid w:val="007F319C"/>
    <w:rsid w:val="00807DE1"/>
    <w:rsid w:val="008467A5"/>
    <w:rsid w:val="00867A6A"/>
    <w:rsid w:val="00867FFC"/>
    <w:rsid w:val="008718A4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5C4B"/>
    <w:rsid w:val="00967B24"/>
    <w:rsid w:val="0098449B"/>
    <w:rsid w:val="0098755F"/>
    <w:rsid w:val="009A07B9"/>
    <w:rsid w:val="009B33C3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C56FE"/>
    <w:rsid w:val="00AD37EA"/>
    <w:rsid w:val="00AD4058"/>
    <w:rsid w:val="00B04671"/>
    <w:rsid w:val="00B15F45"/>
    <w:rsid w:val="00B32265"/>
    <w:rsid w:val="00B34597"/>
    <w:rsid w:val="00B412FE"/>
    <w:rsid w:val="00B5102D"/>
    <w:rsid w:val="00B521B7"/>
    <w:rsid w:val="00B623D6"/>
    <w:rsid w:val="00B646D9"/>
    <w:rsid w:val="00B727AD"/>
    <w:rsid w:val="00B86BB1"/>
    <w:rsid w:val="00BC76C0"/>
    <w:rsid w:val="00C038CD"/>
    <w:rsid w:val="00C342BC"/>
    <w:rsid w:val="00C370D1"/>
    <w:rsid w:val="00C4180D"/>
    <w:rsid w:val="00C62858"/>
    <w:rsid w:val="00C64B70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02EF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2EBE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A1795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09B0B6"/>
  <w15:docId w15:val="{A84D4168-3CAE-4988-925F-D5816704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  <w:lang w:val="en-US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2-31">
    <w:name w:val="جدول شبكة 2 - تمييز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">
    <w:name w:val="جدول شبكة 4 - تمييز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41">
    <w:name w:val="جدول شبكة 4 - تمييز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HTMLPreformatted">
    <w:name w:val="HTML Preformatted"/>
    <w:basedOn w:val="Normal"/>
    <w:link w:val="HTMLPreformattedChar"/>
    <w:semiHidden/>
    <w:unhideWhenUsed/>
    <w:rsid w:val="00675725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5725"/>
    <w:rPr>
      <w:rFonts w:ascii="Consolas" w:hAnsi="Consolas" w:cs="Traditional Arabic"/>
      <w:lang w:val="en-US"/>
    </w:rPr>
  </w:style>
  <w:style w:type="character" w:styleId="Hyperlink">
    <w:name w:val="Hyperlink"/>
    <w:basedOn w:val="DefaultParagraphFont"/>
    <w:uiPriority w:val="99"/>
    <w:unhideWhenUsed/>
    <w:rsid w:val="00AC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2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change_2_https://Student_s_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965AD-9D0E-4C17-AE35-C755BA13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YOGA 710</cp:lastModifiedBy>
  <cp:revision>10</cp:revision>
  <cp:lastPrinted>2019-12-29T08:00:00Z</cp:lastPrinted>
  <dcterms:created xsi:type="dcterms:W3CDTF">2022-09-27T22:51:00Z</dcterms:created>
  <dcterms:modified xsi:type="dcterms:W3CDTF">2024-09-25T15:38:00Z</dcterms:modified>
</cp:coreProperties>
</file>