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B9" w:rsidRPr="007A51DA" w:rsidRDefault="000236B9" w:rsidP="000236B9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bookmarkStart w:id="0" w:name="_GoBack"/>
      <w:bookmarkEnd w:id="0"/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Ministry of Higher Education and Scientific Research</w:t>
      </w: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Supervision and Scientific Evaluation Body</w:t>
      </w: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7A51DA">
        <w:rPr>
          <w:rFonts w:ascii="Calibri" w:eastAsia="Calibri" w:hAnsi="Calibri" w:cs="Arial"/>
          <w:b/>
          <w:bCs/>
          <w:sz w:val="24"/>
          <w:szCs w:val="24"/>
          <w:lang w:bidi="ar-IQ"/>
        </w:rPr>
        <w:t>Quality Assurance and Academic Accreditation Office</w:t>
      </w: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:rsidR="000236B9" w:rsidRPr="007A51DA" w:rsidRDefault="000236B9" w:rsidP="000236B9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</w:pPr>
      <w:r w:rsidRPr="007A51DA">
        <w:rPr>
          <w:rFonts w:ascii="Calibri" w:eastAsia="Calibri" w:hAnsi="Calibri" w:cs="Arial"/>
          <w:b/>
          <w:bCs/>
          <w:sz w:val="32"/>
          <w:szCs w:val="32"/>
          <w:u w:val="single"/>
          <w:lang w:bidi="ar-IQ"/>
        </w:rPr>
        <w:t>Course Description Sample</w:t>
      </w:r>
    </w:p>
    <w:p w:rsidR="000236B9" w:rsidRPr="007A51DA" w:rsidRDefault="000236B9" w:rsidP="000236B9">
      <w:pPr>
        <w:jc w:val="center"/>
        <w:rPr>
          <w:rFonts w:ascii="Calibri" w:eastAsia="Calibri" w:hAnsi="Calibri" w:cs="Arial"/>
          <w:b/>
          <w:bCs/>
          <w:sz w:val="32"/>
          <w:szCs w:val="32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 xml:space="preserve">Subject: </w:t>
      </w:r>
      <w:r w:rsidRPr="0082165E">
        <w:rPr>
          <w:rFonts w:ascii="Calibri" w:eastAsia="Calibri" w:hAnsi="Calibri" w:cs="Arial"/>
          <w:b/>
          <w:bCs/>
          <w:sz w:val="28"/>
          <w:szCs w:val="28"/>
          <w:lang w:val="en" w:bidi="ar-IQ"/>
        </w:rPr>
        <w:t>Accounting for financial institutions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This 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82165E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Accounting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0236B9" w:rsidRPr="007A51DA" w:rsidRDefault="000236B9" w:rsidP="000236B9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Intermediate 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Accounting </w:t>
            </w:r>
            <w:r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2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>Zainab J</w:t>
            </w: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a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afar Salman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Attendance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Second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 course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7. Total No. of Teaching Hours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60 Hours</w:t>
            </w:r>
          </w:p>
        </w:tc>
      </w:tr>
      <w:tr w:rsidR="000236B9" w:rsidRPr="007A51DA" w:rsidTr="00C5297D">
        <w:tc>
          <w:tcPr>
            <w:tcW w:w="4158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0236B9" w:rsidRPr="007A51DA" w:rsidRDefault="000236B9" w:rsidP="00C5297D">
            <w:pPr>
              <w:bidi/>
              <w:jc w:val="right"/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7/ 9/ 2024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9.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0236B9">
        <w:tc>
          <w:tcPr>
            <w:tcW w:w="9576" w:type="dxa"/>
            <w:shd w:val="clear" w:color="auto" w:fill="FFFFFF" w:themeFill="background1"/>
          </w:tcPr>
          <w:p w:rsidR="000236B9" w:rsidRPr="000236B9" w:rsidRDefault="000236B9" w:rsidP="000236B9">
            <w:pPr>
              <w:pStyle w:val="HTML"/>
              <w:rPr>
                <w:rFonts w:ascii="inherit" w:eastAsia="Times New Roman" w:hAnsi="inherit" w:cs="Courier New"/>
                <w:color w:val="1F1F1F"/>
                <w:sz w:val="28"/>
                <w:szCs w:val="28"/>
                <w:rtl/>
                <w:lang w:bidi="ar-EG"/>
              </w:rPr>
            </w:pPr>
            <w:r w:rsidRPr="000236B9">
              <w:rPr>
                <w:rFonts w:ascii="inherit" w:eastAsia="Times New Roman" w:hAnsi="inherit" w:cs="Courier New"/>
                <w:color w:val="1F1F1F"/>
                <w:sz w:val="28"/>
                <w:szCs w:val="28"/>
                <w:lang w:val="en"/>
              </w:rPr>
              <w:t>Deepen students’ understanding in the field of measurement and accounting disclosure of assets in financial statements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0236B9" w:rsidRDefault="000236B9" w:rsidP="000236B9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</w:t>
            </w:r>
            <w:r w:rsidRPr="000236B9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/>
              </w:rPr>
              <w:t xml:space="preserve"> </w:t>
            </w:r>
            <w:r w:rsidRPr="000236B9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 xml:space="preserve">Familiarity with international accounting standards related to assets </w:t>
            </w:r>
          </w:p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0236B9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</w:t>
            </w:r>
            <w:r w:rsidRPr="000236B9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Deepen students’ understanding in the field of measurement and accounting disclosure of assets in financial statements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lastRenderedPageBreak/>
        <w:t xml:space="preserve">10.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Output, Methodology and Evaluation</w:t>
      </w: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(A)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Cognitive Objectives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Enabling students to acquire knowledge and the art of</w:t>
            </w:r>
            <w:r w:rsidRPr="00B53D9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Knowledge and understanding of accounting concepts and procedures related to the work of banks and insurance companies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Acquainting students with how to promote their personal knowledge.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c. Helping students to acquire knowledge in the art of 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Scientific developments in banking operations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Enabling students to sharpen their skills in the dynamic work environment.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Enabling students to invest their scientific abilities in their working place in the scope of</w:t>
            </w:r>
            <w:r w:rsidRPr="00B53D9A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"/>
              </w:rPr>
              <w:t xml:space="preserve"> </w:t>
            </w:r>
            <w:r w:rsidRPr="00B53D9A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Commercial banking and insurance companies sector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" w:bidi="ar-IQ"/>
              </w:rPr>
              <w:t>.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Pr="00A01511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related to preparing financial statements for banks</w:t>
            </w: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(B)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Skill Objectives Related to the Program</w:t>
      </w:r>
      <w:r w:rsidRPr="007A51DA">
        <w:rPr>
          <w:rFonts w:ascii="Calibri" w:eastAsia="Calibri" w:hAnsi="Calibri" w:cs="Arial"/>
          <w:sz w:val="28"/>
          <w:szCs w:val="28"/>
          <w:lang w:bidi="ar-IQ"/>
        </w:rPr>
        <w:t>:</w:t>
      </w: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0236B9" w:rsidRDefault="000236B9" w:rsidP="00023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IQ"/>
              </w:rPr>
              <w:t>A 1-</w:t>
            </w:r>
            <w:r w:rsidRPr="000236B9">
              <w:rPr>
                <w:sz w:val="28"/>
                <w:szCs w:val="28"/>
              </w:rPr>
              <w:t xml:space="preserve">Knowledge and understanding of accounting concepts and procedures related to current and fixed assets   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0236B9" w:rsidRDefault="000236B9" w:rsidP="001D0E7C">
            <w:pPr>
              <w:rPr>
                <w:sz w:val="28"/>
                <w:szCs w:val="28"/>
              </w:rPr>
            </w:pPr>
            <w:r w:rsidRPr="000236B9">
              <w:rPr>
                <w:sz w:val="28"/>
                <w:szCs w:val="28"/>
              </w:rPr>
              <w:t>A2- Providing the student with experience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0236B9" w:rsidRDefault="000236B9" w:rsidP="001D0E7C">
            <w:pPr>
              <w:rPr>
                <w:sz w:val="28"/>
                <w:szCs w:val="28"/>
              </w:rPr>
            </w:pPr>
            <w:r w:rsidRPr="000236B9">
              <w:rPr>
                <w:sz w:val="28"/>
                <w:szCs w:val="28"/>
              </w:rPr>
              <w:t>A3- Introducing the student to scientific developments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Using already- prepared lectures.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Using up-to-date  data shows.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Homework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Adopting group discussions.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Oral tests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Monthly tests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lastRenderedPageBreak/>
              <w:t>c. Daily quizzes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       (C)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Sentimental and Value Objectives</w:t>
      </w: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08D" w:rsidRPr="007A51DA" w:rsidTr="00C5297D">
        <w:tc>
          <w:tcPr>
            <w:tcW w:w="9576" w:type="dxa"/>
          </w:tcPr>
          <w:p w:rsidR="00D2408D" w:rsidRPr="00D2408D" w:rsidRDefault="00D2408D" w:rsidP="00DD14D8">
            <w:pPr>
              <w:rPr>
                <w:sz w:val="28"/>
                <w:szCs w:val="28"/>
              </w:rPr>
            </w:pPr>
            <w:r w:rsidRPr="00D2408D">
              <w:rPr>
                <w:sz w:val="28"/>
                <w:szCs w:val="28"/>
              </w:rPr>
              <w:t xml:space="preserve">1. Study the psychological state of the student </w:t>
            </w:r>
          </w:p>
        </w:tc>
      </w:tr>
      <w:tr w:rsidR="00D2408D" w:rsidRPr="007A51DA" w:rsidTr="00C5297D">
        <w:tc>
          <w:tcPr>
            <w:tcW w:w="9576" w:type="dxa"/>
          </w:tcPr>
          <w:p w:rsidR="00D2408D" w:rsidRPr="00D2408D" w:rsidRDefault="00D2408D" w:rsidP="00D2408D">
            <w:pPr>
              <w:rPr>
                <w:sz w:val="28"/>
                <w:szCs w:val="28"/>
              </w:rPr>
            </w:pPr>
            <w:r w:rsidRPr="00D2408D">
              <w:rPr>
                <w:sz w:val="28"/>
                <w:szCs w:val="28"/>
              </w:rPr>
              <w:t>2. Encouraging team work</w:t>
            </w:r>
          </w:p>
        </w:tc>
      </w:tr>
      <w:tr w:rsidR="00D2408D" w:rsidRPr="007A51DA" w:rsidTr="00C5297D">
        <w:tc>
          <w:tcPr>
            <w:tcW w:w="9576" w:type="dxa"/>
          </w:tcPr>
          <w:p w:rsidR="00D2408D" w:rsidRPr="00D2408D" w:rsidRDefault="00D2408D" w:rsidP="00D2408D">
            <w:pPr>
              <w:rPr>
                <w:sz w:val="28"/>
                <w:szCs w:val="28"/>
              </w:rPr>
            </w:pPr>
            <w:r w:rsidRPr="00D2408D">
              <w:rPr>
                <w:sz w:val="28"/>
                <w:szCs w:val="28"/>
              </w:rPr>
              <w:t>3. Enhancing competition</w:t>
            </w:r>
          </w:p>
        </w:tc>
      </w:tr>
      <w:tr w:rsidR="00D2408D" w:rsidRPr="007A51DA" w:rsidTr="00C5297D">
        <w:tc>
          <w:tcPr>
            <w:tcW w:w="9576" w:type="dxa"/>
          </w:tcPr>
          <w:p w:rsidR="00D2408D" w:rsidRPr="00D2408D" w:rsidRDefault="00D2408D" w:rsidP="00D2408D">
            <w:pPr>
              <w:rPr>
                <w:sz w:val="28"/>
                <w:szCs w:val="28"/>
              </w:rPr>
            </w:pPr>
            <w:r w:rsidRPr="00D2408D">
              <w:rPr>
                <w:sz w:val="28"/>
                <w:szCs w:val="28"/>
              </w:rPr>
              <w:t>4. Using the principle of rewards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Continuous directing.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e. Showing practical cases.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Methods of Evaluation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Daily quizzes.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0236B9" w:rsidRPr="007A51DA" w:rsidTr="00C5297D">
        <w:tc>
          <w:tcPr>
            <w:tcW w:w="9576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D)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08D" w:rsidRPr="007A51DA" w:rsidTr="00C5297D">
        <w:tc>
          <w:tcPr>
            <w:tcW w:w="9576" w:type="dxa"/>
          </w:tcPr>
          <w:p w:rsidR="00D2408D" w:rsidRPr="004053BB" w:rsidRDefault="00D2408D" w:rsidP="006B5DFD">
            <w:r>
              <w:t>D1-</w:t>
            </w:r>
            <w:r w:rsidRPr="004053BB">
              <w:t xml:space="preserve">Knowledge transferred from previous accounting subjects such as principles of accounting and intermediate accounting  </w:t>
            </w:r>
          </w:p>
        </w:tc>
      </w:tr>
      <w:tr w:rsidR="00D2408D" w:rsidRPr="007A51DA" w:rsidTr="00C5297D">
        <w:tc>
          <w:tcPr>
            <w:tcW w:w="9576" w:type="dxa"/>
          </w:tcPr>
          <w:p w:rsidR="00D2408D" w:rsidRPr="004053BB" w:rsidRDefault="00D2408D" w:rsidP="006B5DFD">
            <w:r w:rsidRPr="004053BB">
              <w:t>D2- Preparing work within the job climate</w:t>
            </w:r>
          </w:p>
        </w:tc>
      </w:tr>
      <w:tr w:rsidR="00D2408D" w:rsidRPr="007A51DA" w:rsidTr="00C5297D">
        <w:tc>
          <w:tcPr>
            <w:tcW w:w="9576" w:type="dxa"/>
          </w:tcPr>
          <w:p w:rsidR="00D2408D" w:rsidRPr="004053BB" w:rsidRDefault="00D2408D" w:rsidP="006B5DFD">
            <w:r w:rsidRPr="004053BB">
              <w:t>D3- Qualifying the student and giving him employability in all sectors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11.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Course Structure</w:t>
      </w:r>
    </w:p>
    <w:tbl>
      <w:tblPr>
        <w:tblStyle w:val="TableGrid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2977"/>
        <w:gridCol w:w="2126"/>
        <w:gridCol w:w="1843"/>
        <w:gridCol w:w="1701"/>
      </w:tblGrid>
      <w:tr w:rsidR="00681339" w:rsidRPr="007A51DA" w:rsidTr="00681339">
        <w:tc>
          <w:tcPr>
            <w:tcW w:w="852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50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977" w:type="dxa"/>
          </w:tcPr>
          <w:p w:rsidR="000236B9" w:rsidRPr="00681339" w:rsidRDefault="000236B9" w:rsidP="00C529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  <w:t>Required Learning Output</w:t>
            </w:r>
          </w:p>
        </w:tc>
        <w:tc>
          <w:tcPr>
            <w:tcW w:w="2126" w:type="dxa"/>
          </w:tcPr>
          <w:p w:rsidR="000236B9" w:rsidRPr="00681339" w:rsidRDefault="000236B9" w:rsidP="00C5297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  <w:t>Title of Subject</w:t>
            </w:r>
          </w:p>
        </w:tc>
        <w:tc>
          <w:tcPr>
            <w:tcW w:w="1843" w:type="dxa"/>
          </w:tcPr>
          <w:p w:rsidR="000236B9" w:rsidRPr="00681339" w:rsidRDefault="000236B9" w:rsidP="00C5297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ar-IQ"/>
              </w:rPr>
            </w:pPr>
            <w:r w:rsidRPr="00681339">
              <w:rPr>
                <w:rFonts w:ascii="Calibri" w:eastAsia="Calibri" w:hAnsi="Calibri" w:cs="Calibri"/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701" w:type="dxa"/>
          </w:tcPr>
          <w:p w:rsidR="000236B9" w:rsidRPr="007A51DA" w:rsidRDefault="000236B9" w:rsidP="00C5297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</w:pPr>
            <w:r w:rsidRPr="007A51DA"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81339" w:rsidRPr="007A51DA" w:rsidTr="00681339">
        <w:tc>
          <w:tcPr>
            <w:tcW w:w="852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</w:t>
            </w:r>
          </w:p>
        </w:tc>
        <w:tc>
          <w:tcPr>
            <w:tcW w:w="850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D2408D" w:rsidRPr="00681339" w:rsidRDefault="00D2408D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Definition of inventory, its nature, and recording accounting entries under the periodic inventory system and continuous inventory</w:t>
            </w:r>
          </w:p>
        </w:tc>
        <w:tc>
          <w:tcPr>
            <w:tcW w:w="2126" w:type="dxa"/>
          </w:tcPr>
          <w:p w:rsidR="00D2408D" w:rsidRPr="00681339" w:rsidRDefault="00D2408D" w:rsidP="00DA250B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One/Commodity Inventory</w:t>
            </w:r>
          </w:p>
        </w:tc>
        <w:tc>
          <w:tcPr>
            <w:tcW w:w="1843" w:type="dxa"/>
          </w:tcPr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681339" w:rsidRPr="007A51DA" w:rsidTr="00681339">
        <w:tc>
          <w:tcPr>
            <w:tcW w:w="852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2</w:t>
            </w:r>
          </w:p>
        </w:tc>
        <w:tc>
          <w:tcPr>
            <w:tcW w:w="850" w:type="dxa"/>
          </w:tcPr>
          <w:p w:rsidR="00D2408D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D2408D" w:rsidRPr="00681339" w:rsidRDefault="00D2408D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Methods of evaluating commodity inventory</w:t>
            </w:r>
          </w:p>
        </w:tc>
        <w:tc>
          <w:tcPr>
            <w:tcW w:w="2126" w:type="dxa"/>
          </w:tcPr>
          <w:p w:rsidR="00D2408D" w:rsidRPr="00681339" w:rsidRDefault="00D2408D" w:rsidP="00DA250B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One/Commodity inventory</w:t>
            </w:r>
          </w:p>
        </w:tc>
        <w:tc>
          <w:tcPr>
            <w:tcW w:w="1843" w:type="dxa"/>
          </w:tcPr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681339" w:rsidRPr="007A51DA" w:rsidTr="00681339">
        <w:tc>
          <w:tcPr>
            <w:tcW w:w="852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3</w:t>
            </w:r>
          </w:p>
        </w:tc>
        <w:tc>
          <w:tcPr>
            <w:tcW w:w="850" w:type="dxa"/>
          </w:tcPr>
          <w:p w:rsidR="00D2408D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D2408D" w:rsidRPr="00681339" w:rsidRDefault="00D2408D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Methods of evaluating commodity inventory. </w:t>
            </w:r>
          </w:p>
        </w:tc>
        <w:tc>
          <w:tcPr>
            <w:tcW w:w="2126" w:type="dxa"/>
          </w:tcPr>
          <w:p w:rsidR="00D2408D" w:rsidRPr="00681339" w:rsidRDefault="00D2408D" w:rsidP="00DA250B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One/Commodity inventory</w:t>
            </w:r>
          </w:p>
        </w:tc>
        <w:tc>
          <w:tcPr>
            <w:tcW w:w="1843" w:type="dxa"/>
          </w:tcPr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D2408D" w:rsidRPr="00681339" w:rsidRDefault="00D2408D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oral tests</w:t>
            </w:r>
          </w:p>
          <w:p w:rsidR="00D2408D" w:rsidRPr="007A51DA" w:rsidRDefault="00D2408D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-questions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Definition of fixed assets and methods of acquiring them. </w:t>
            </w:r>
          </w:p>
        </w:tc>
        <w:tc>
          <w:tcPr>
            <w:tcW w:w="2126" w:type="dxa"/>
          </w:tcPr>
          <w:p w:rsidR="001F3CF7" w:rsidRPr="00681339" w:rsidRDefault="001F3CF7" w:rsidP="00A339A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Two/Fixed Assets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5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Methods of extinction of fixed assets. </w:t>
            </w:r>
          </w:p>
        </w:tc>
        <w:tc>
          <w:tcPr>
            <w:tcW w:w="2126" w:type="dxa"/>
          </w:tcPr>
          <w:p w:rsidR="001F3CF7" w:rsidRPr="00681339" w:rsidRDefault="001F3CF7" w:rsidP="00A339A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. Chapter Two/Fixed Assets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6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Methods of extinction of fixed assets</w:t>
            </w:r>
          </w:p>
        </w:tc>
        <w:tc>
          <w:tcPr>
            <w:tcW w:w="2126" w:type="dxa"/>
            <w:shd w:val="clear" w:color="auto" w:fill="FFFFFF" w:themeFill="background1"/>
          </w:tcPr>
          <w:p w:rsidR="001F3CF7" w:rsidRPr="00681339" w:rsidRDefault="001F3CF7" w:rsidP="00A339A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. Chapter Two/Fixed Assets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7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Dispensing with Fixed </w:t>
            </w:r>
          </w:p>
        </w:tc>
        <w:tc>
          <w:tcPr>
            <w:tcW w:w="2126" w:type="dxa"/>
          </w:tcPr>
          <w:p w:rsidR="001F3CF7" w:rsidRPr="00681339" w:rsidRDefault="001F3CF7" w:rsidP="00DD741F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Two/Fixed Assets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8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Examples and practical exercises on the topic, </w:t>
            </w:r>
          </w:p>
        </w:tc>
        <w:tc>
          <w:tcPr>
            <w:tcW w:w="2126" w:type="dxa"/>
          </w:tcPr>
          <w:p w:rsidR="001F3CF7" w:rsidRPr="00681339" w:rsidRDefault="001F3CF7" w:rsidP="00DD741F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Two/Fixed Assets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9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Monthly exam </w:t>
            </w:r>
          </w:p>
        </w:tc>
        <w:tc>
          <w:tcPr>
            <w:tcW w:w="2126" w:type="dxa"/>
          </w:tcPr>
          <w:p w:rsidR="001F3CF7" w:rsidRPr="00681339" w:rsidRDefault="001F3CF7" w:rsidP="00DD741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3CF7" w:rsidRPr="00681339" w:rsidRDefault="001F3CF7" w:rsidP="001F3CF7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10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2126" w:type="dxa"/>
          </w:tcPr>
          <w:p w:rsidR="001F3CF7" w:rsidRPr="00681339" w:rsidRDefault="001F3CF7" w:rsidP="00D70CB6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Three/Financial Investments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11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Investments in Debt Securities </w:t>
            </w:r>
          </w:p>
        </w:tc>
        <w:tc>
          <w:tcPr>
            <w:tcW w:w="2126" w:type="dxa"/>
          </w:tcPr>
          <w:p w:rsidR="001F3CF7" w:rsidRPr="00681339" w:rsidRDefault="001F3CF7" w:rsidP="00D70CB6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Three/Financial Investments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12</w:t>
            </w:r>
          </w:p>
        </w:tc>
        <w:tc>
          <w:tcPr>
            <w:tcW w:w="850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1F3CF7" w:rsidRPr="00681339" w:rsidRDefault="001F3CF7" w:rsidP="001F3CF7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Investments in property securities, </w:t>
            </w:r>
          </w:p>
        </w:tc>
        <w:tc>
          <w:tcPr>
            <w:tcW w:w="2126" w:type="dxa"/>
          </w:tcPr>
          <w:p w:rsidR="001F3CF7" w:rsidRPr="00681339" w:rsidRDefault="001F3CF7" w:rsidP="00D70CB6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Three/Financial investments</w:t>
            </w:r>
          </w:p>
        </w:tc>
        <w:tc>
          <w:tcPr>
            <w:tcW w:w="1843" w:type="dxa"/>
          </w:tcPr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1F3CF7" w:rsidRPr="00681339" w:rsidRDefault="001F3CF7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1F3CF7" w:rsidRPr="007A51DA" w:rsidRDefault="001F3CF7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13</w:t>
            </w:r>
          </w:p>
        </w:tc>
        <w:tc>
          <w:tcPr>
            <w:tcW w:w="850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681339" w:rsidRPr="00681339" w:rsidRDefault="00681339" w:rsidP="00681339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Definition of intangible assets/types/amortization</w:t>
            </w:r>
          </w:p>
        </w:tc>
        <w:tc>
          <w:tcPr>
            <w:tcW w:w="2126" w:type="dxa"/>
          </w:tcPr>
          <w:p w:rsidR="00681339" w:rsidRPr="00681339" w:rsidRDefault="00681339" w:rsidP="00F06E29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Four/Intangible assets</w:t>
            </w:r>
          </w:p>
        </w:tc>
        <w:tc>
          <w:tcPr>
            <w:tcW w:w="1843" w:type="dxa"/>
          </w:tcPr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14</w:t>
            </w:r>
          </w:p>
        </w:tc>
        <w:tc>
          <w:tcPr>
            <w:tcW w:w="850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IQ"/>
              </w:rPr>
              <w:t>4</w:t>
            </w:r>
          </w:p>
        </w:tc>
        <w:tc>
          <w:tcPr>
            <w:tcW w:w="2977" w:type="dxa"/>
          </w:tcPr>
          <w:p w:rsidR="00681339" w:rsidRPr="00681339" w:rsidRDefault="00681339" w:rsidP="00681339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 xml:space="preserve">Current liabilities and their types. </w:t>
            </w:r>
          </w:p>
        </w:tc>
        <w:tc>
          <w:tcPr>
            <w:tcW w:w="2126" w:type="dxa"/>
          </w:tcPr>
          <w:p w:rsidR="00681339" w:rsidRPr="00681339" w:rsidRDefault="00681339" w:rsidP="00F06E29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Chapter Five: Current liabilities</w:t>
            </w:r>
          </w:p>
        </w:tc>
        <w:tc>
          <w:tcPr>
            <w:tcW w:w="1843" w:type="dxa"/>
          </w:tcPr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lectures</w:t>
            </w:r>
          </w:p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 case study</w:t>
            </w:r>
          </w:p>
          <w:p w:rsidR="00681339" w:rsidRPr="00681339" w:rsidRDefault="0068133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lectures</w:t>
            </w:r>
          </w:p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 case study</w:t>
            </w:r>
          </w:p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-discussions</w:t>
            </w:r>
          </w:p>
        </w:tc>
      </w:tr>
      <w:tr w:rsidR="00681339" w:rsidRPr="007A51DA" w:rsidTr="00681339">
        <w:tc>
          <w:tcPr>
            <w:tcW w:w="852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15</w:t>
            </w:r>
          </w:p>
        </w:tc>
        <w:tc>
          <w:tcPr>
            <w:tcW w:w="850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977" w:type="dxa"/>
          </w:tcPr>
          <w:p w:rsidR="000236B9" w:rsidRPr="00681339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2126" w:type="dxa"/>
          </w:tcPr>
          <w:p w:rsidR="000236B9" w:rsidRPr="00681339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Arial"/>
                <w:sz w:val="28"/>
                <w:szCs w:val="28"/>
                <w:lang w:val="en" w:bidi="ar-IQ"/>
              </w:rPr>
              <w:t>final exam</w:t>
            </w:r>
          </w:p>
          <w:p w:rsidR="000236B9" w:rsidRPr="00681339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</w:tcPr>
          <w:p w:rsidR="000236B9" w:rsidRPr="00681339" w:rsidRDefault="000236B9" w:rsidP="00C5297D">
            <w:pPr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</w:tcPr>
          <w:p w:rsidR="000236B9" w:rsidRPr="007A51DA" w:rsidRDefault="000236B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>12.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Infrastructure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1339" w:rsidRPr="007A51DA" w:rsidTr="00C5297D">
        <w:tc>
          <w:tcPr>
            <w:tcW w:w="4788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681339" w:rsidRPr="00681339" w:rsidRDefault="00681339" w:rsidP="00F6272C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Nothing</w:t>
            </w:r>
          </w:p>
        </w:tc>
      </w:tr>
      <w:tr w:rsidR="00681339" w:rsidRPr="007A51DA" w:rsidTr="00C5297D">
        <w:tc>
          <w:tcPr>
            <w:tcW w:w="4788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</w:tcPr>
          <w:p w:rsidR="00681339" w:rsidRPr="00681339" w:rsidRDefault="00681339" w:rsidP="00F6272C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Financial accounting book in accordance with international financial reporting standards</w:t>
            </w:r>
          </w:p>
        </w:tc>
      </w:tr>
      <w:tr w:rsidR="00681339" w:rsidRPr="007A51DA" w:rsidTr="00C5297D">
        <w:tc>
          <w:tcPr>
            <w:tcW w:w="4788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681339" w:rsidRPr="00681339" w:rsidRDefault="00681339" w:rsidP="00F6272C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1. Prof. Dr. Talal Jajawi</w:t>
            </w:r>
          </w:p>
        </w:tc>
      </w:tr>
      <w:tr w:rsidR="00681339" w:rsidRPr="007A51DA" w:rsidTr="00C5297D">
        <w:tc>
          <w:tcPr>
            <w:tcW w:w="4788" w:type="dxa"/>
          </w:tcPr>
          <w:p w:rsidR="0068133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7A51DA">
              <w:rPr>
                <w:rFonts w:ascii="Calibri" w:eastAsia="Calibri" w:hAnsi="Calibri" w:cs="Arial"/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681339" w:rsidRPr="00681339" w:rsidRDefault="00681339" w:rsidP="00F6272C">
            <w:pPr>
              <w:rPr>
                <w:sz w:val="28"/>
                <w:szCs w:val="28"/>
              </w:rPr>
            </w:pPr>
            <w:r w:rsidRPr="00681339">
              <w:rPr>
                <w:sz w:val="28"/>
                <w:szCs w:val="28"/>
              </w:rPr>
              <w:t>2. Prof. Haider Ali Al-Masoudi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</w:p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lang w:bidi="ar-IQ"/>
        </w:rPr>
      </w:pPr>
      <w:r w:rsidRPr="007A51DA">
        <w:rPr>
          <w:rFonts w:ascii="Calibri" w:eastAsia="Calibri" w:hAnsi="Calibri" w:cs="Arial"/>
          <w:sz w:val="28"/>
          <w:szCs w:val="28"/>
          <w:lang w:bidi="ar-IQ"/>
        </w:rPr>
        <w:t xml:space="preserve">13. </w:t>
      </w:r>
      <w:r w:rsidRPr="007A51DA">
        <w:rPr>
          <w:rFonts w:ascii="Calibri" w:eastAsia="Calibri" w:hAnsi="Calibri" w:cs="Arial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36B9" w:rsidRPr="007A51DA" w:rsidTr="00C5297D">
        <w:tc>
          <w:tcPr>
            <w:tcW w:w="9576" w:type="dxa"/>
          </w:tcPr>
          <w:p w:rsidR="000236B9" w:rsidRPr="007A51DA" w:rsidRDefault="00681339" w:rsidP="00C5297D">
            <w:p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 w:rsidRPr="00681339">
              <w:rPr>
                <w:rFonts w:ascii="Calibri" w:eastAsia="Calibri" w:hAnsi="Calibri" w:cs="Arial"/>
                <w:sz w:val="28"/>
                <w:szCs w:val="28"/>
                <w:lang w:bidi="ar-IQ"/>
              </w:rPr>
              <w:t>Field visits to the Accounts Division in commercial and industrial companies</w:t>
            </w:r>
          </w:p>
        </w:tc>
      </w:tr>
    </w:tbl>
    <w:p w:rsidR="000236B9" w:rsidRPr="007A51DA" w:rsidRDefault="000236B9" w:rsidP="000236B9">
      <w:pPr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0236B9" w:rsidRDefault="000236B9" w:rsidP="000236B9">
      <w:pPr>
        <w:rPr>
          <w:lang w:bidi="ar-IQ"/>
        </w:rPr>
      </w:pPr>
    </w:p>
    <w:p w:rsidR="00E160B3" w:rsidRDefault="00E160B3"/>
    <w:sectPr w:rsidR="00E160B3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B9"/>
    <w:rsid w:val="000236B9"/>
    <w:rsid w:val="001F3CF7"/>
    <w:rsid w:val="00681339"/>
    <w:rsid w:val="00A66202"/>
    <w:rsid w:val="00BE7B9C"/>
    <w:rsid w:val="00D2408D"/>
    <w:rsid w:val="00E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0236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Char"/>
    <w:uiPriority w:val="99"/>
    <w:unhideWhenUsed/>
    <w:rsid w:val="000236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236B9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0236B9"/>
  </w:style>
  <w:style w:type="table" w:styleId="a3">
    <w:name w:val="Table Grid"/>
    <w:basedOn w:val="a1"/>
    <w:uiPriority w:val="59"/>
    <w:rsid w:val="000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0236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Char"/>
    <w:uiPriority w:val="99"/>
    <w:unhideWhenUsed/>
    <w:rsid w:val="000236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236B9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0236B9"/>
  </w:style>
  <w:style w:type="table" w:styleId="a3">
    <w:name w:val="Table Grid"/>
    <w:basedOn w:val="a1"/>
    <w:uiPriority w:val="59"/>
    <w:rsid w:val="000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2024-11-08T23:54:00Z</dcterms:created>
  <dcterms:modified xsi:type="dcterms:W3CDTF">2024-11-08T23:54:00Z</dcterms:modified>
</cp:coreProperties>
</file>