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  <w:r w:rsidR="004078DF">
        <w:rPr>
          <w:rFonts w:cs="Times New Roman"/>
          <w:b/>
          <w:bCs/>
          <w:sz w:val="32"/>
          <w:szCs w:val="32"/>
        </w:rPr>
        <w:t xml:space="preserve">  </w:t>
      </w:r>
      <w:r w:rsidR="004078DF">
        <w:rPr>
          <w:rFonts w:cs="Times New Roman" w:hint="cs"/>
          <w:b/>
          <w:bCs/>
          <w:sz w:val="32"/>
          <w:szCs w:val="32"/>
          <w:rtl/>
          <w:lang w:bidi="ar-IQ"/>
        </w:rPr>
        <w:t>محاسبة التكاليف</w:t>
      </w:r>
    </w:p>
    <w:p w:rsidR="00D355A3" w:rsidRPr="003C2E50" w:rsidRDefault="00D355A3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632561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4078DF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4078D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078DF" w:rsidRPr="004078D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جامعة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99360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المحاسبة 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993608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محاسبة التكاليف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4078D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B0F3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45</w:t>
            </w:r>
            <w:bookmarkStart w:id="0" w:name="_GoBack"/>
            <w:bookmarkEnd w:id="0"/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078DF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10/ 9/ 2024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مباد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وأساسيات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محاسبة التكاليف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25055A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بكيفية تطبيق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محاسبة التكاليف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في الشركات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صناعية </w:t>
            </w:r>
          </w:p>
        </w:tc>
      </w:tr>
      <w:tr w:rsidR="00D9103A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0C0471" w:rsidP="0025055A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3- 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بمحاسبة التكاليف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وبيان أهميتها في وضع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أطار نظري وعملي لاستخدامها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D9103A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- تعليم الطالب كيفية 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حساب كلفة السلعة أو الخدمة و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تسجيل العمليات المالية في السجلات المحاسبية.</w:t>
            </w:r>
          </w:p>
          <w:p w:rsidR="0063256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5- 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تعريف الطالب بالقوائم المالية التي تنتجها الشركات ال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صناعية في نهاية الفترة المالية ز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9103A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- تقوية مهارات الطالب على إعداد القوائم المالية والكشوفات الملحقة بها</w:t>
            </w:r>
            <w:r w:rsidR="002505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التي تخص الشركات </w:t>
            </w:r>
            <w:r w:rsidRPr="0063256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بالمحاسبة كعلم وفن تسجيل العمليات المالية في السجلات 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بالمحاسبة كنظام للمعلومات المحاسبية 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تسجيل القيود اليومية في السجلات المحاسبية 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ترحيل العمليات المالية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سجل </w:t>
            </w:r>
            <w:r w:rsidR="000C0471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الأستاذ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تصنيف وتبويب الحسابات وتلخيصها .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أ6-  </w:t>
            </w:r>
            <w:r w:rsidR="00B5216B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إعداد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ميزان المراجعة .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الخاصة بالمقرر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ب1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تثبيت العمليات المالية في سجل اليومية العامة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وسجل </w:t>
            </w:r>
            <w:r w:rsidR="0025055A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الأستاذ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بالدورة المحاسبية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وحسابات مراقبة </w:t>
            </w:r>
            <w:r w:rsidR="0025055A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الإنتاج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</w:t>
            </w:r>
            <w:r w:rsidR="00B5216B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معالجة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البضاعة التامة الصنع وتحت التشغيل وتكلفتها 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 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معالجة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التلف الطبيعي والتلف غير الطبيعي .</w:t>
            </w: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 عن طريق المحاضرات الأسبوعية (حضوري) .</w:t>
            </w:r>
          </w:p>
          <w:p w:rsidR="00B5216B" w:rsidRDefault="00B5216B" w:rsidP="0025055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فتح كلاس روم  خاص بمادة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محاسبة التكاليف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والتواصل مع الطلاب .</w:t>
            </w:r>
          </w:p>
          <w:p w:rsidR="008A3F48" w:rsidRPr="004078DF" w:rsidRDefault="00B5216B" w:rsidP="004078DF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إجراء الامتحانات والاختبارات المفاجئة للطلاب حضوريا.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230134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8A3F48" w:rsidRPr="004078DF" w:rsidRDefault="002B2106" w:rsidP="004078D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المحاضرة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نشاطات الكلية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يصغي الطالب </w:t>
            </w:r>
            <w:r w:rsidR="00B225F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شرح المدرس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اهتمام الطالب بالمحاضرة وتفاعله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B225F8" w:rsidRDefault="00B225F8" w:rsidP="006D58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D584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التفاعل الصفي بما تتضمنه من مهارات فرعية مثل: (التهيئة، التمهيد، استخدام الأسئلة، التعزيز، الصمت، الاحتواء والمتابعة، طرائق التدريس</w:t>
            </w:r>
            <w:r w:rsidR="006D5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6D584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الاختبارات هي من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أهم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وسائل التقييم في المؤسسات التعليمية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التقويم المباشر بين المدرس والطالب  لأنها تساعد المدرس على الوقوف عند نقاط الضعف وعند نقاط القوة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عمله .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القدرات الذهنية للطالب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المشاركة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تنمية القدرات </w:t>
            </w:r>
            <w:proofErr w:type="spellStart"/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المهارية</w:t>
            </w:r>
            <w:proofErr w:type="spellEnd"/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للطالب من خلال الواجب العملي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334A2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وسائل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 على شبكة الانترنت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مع الطلبة وحل مشاكلهم المتعلقة بالمادة عن طريق المقابلة الشخصية .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3C309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C6538" w:rsidRPr="00D9103A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نشأة المحاسبة وتطورها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C6538" w:rsidRPr="00DF400E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مفهوم وتعريف محاسبة التكاليف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أهداف محاسبة التكاليف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استخدامات محاسبة التكاليف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علاقة محاسبة التكاليف بفرع المحاسبة الأخرى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قواعد تصميم نظام التكاليف والتكامل بين نظام التكاليف ونظام المحاسبة المالية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مفاهيم تبويب التكلفة وطرق قياسها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نظريات محاسبة التكاليف</w:t>
            </w:r>
          </w:p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النظرية الكلية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نظريات محاسبة التكاليف </w:t>
            </w:r>
          </w:p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النظرية المباشرة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نظريات محاسبة التكاليف </w:t>
            </w:r>
          </w:p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النظرية المتغيرة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نظريات محاسبة التكاليف </w:t>
            </w:r>
          </w:p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النظرية المستغلة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الرقابة على عناصر التكاليف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نظم محاسبة التكاليف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نظام تكاليف الأوامر الإنتاجية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C6538" w:rsidRPr="00DC6538" w:rsidRDefault="00DC6538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نظام تكاليف المراحل الإنتاجية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C6538" w:rsidRPr="00230134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C6538" w:rsidRPr="00D9103A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87444D" w:rsidRDefault="00DC6538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744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محاسبة التكاليف / د. صلاح مهدي </w:t>
            </w:r>
            <w:proofErr w:type="spellStart"/>
            <w:r w:rsidRPr="008744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الكواز</w:t>
            </w:r>
            <w:proofErr w:type="spellEnd"/>
            <w:r w:rsidRPr="008744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/ 2020.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C6538" w:rsidRPr="0087444D" w:rsidRDefault="00DC6538" w:rsidP="00DC65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744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مبادئ محاسبة التكاليف / د. محمد تيسير عبد الحكيم / 2018.</w:t>
            </w:r>
          </w:p>
          <w:p w:rsidR="00DF400E" w:rsidRPr="0087444D" w:rsidRDefault="00DF400E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C6538" w:rsidRPr="0087444D" w:rsidRDefault="00F96546" w:rsidP="00DC65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744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C6538" w:rsidRPr="008744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نظم محاسبة التكاليف / د. محمد عباده نعمان / 2016.</w:t>
            </w:r>
          </w:p>
          <w:p w:rsidR="00F96546" w:rsidRPr="0087444D" w:rsidRDefault="00F96546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F965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موقع على الانترنت (مكتبة مبتعث)</w:t>
            </w:r>
          </w:p>
          <w:p w:rsidR="00F96546" w:rsidRPr="00F96546" w:rsidRDefault="00807F34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hyperlink r:id="rId9" w:history="1">
              <w:r w:rsidR="00F96546" w:rsidRPr="00354352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bidi="ar-IQ"/>
                </w:rPr>
                <w:t>http://alqashi.com/wp/?page_id=801</w:t>
              </w:r>
            </w:hyperlink>
            <w:r w:rsidR="00F965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مكتبة ظاهر القشي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221F12" w:rsidRPr="00D9103A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التواصل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المستمر </w:t>
            </w: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تطوير المنهج اعتمادا على الإصدارات الحديثة من الكتب والمراجع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والدوريات المتعلقة </w:t>
            </w:r>
            <w:r w:rsidR="00DC6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بعلم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 وفروعها </w:t>
            </w:r>
            <w:r w:rsidR="00732D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باعتبارها نشاط خدمي ونظام معلوماتي محاسبي .</w:t>
            </w: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10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34" w:rsidRDefault="00807F34">
      <w:r>
        <w:separator/>
      </w:r>
    </w:p>
  </w:endnote>
  <w:endnote w:type="continuationSeparator" w:id="0">
    <w:p w:rsidR="00807F34" w:rsidRDefault="0080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1211E2" w:rsidRPr="00807DE1">
            <w:fldChar w:fldCharType="begin"/>
          </w:r>
          <w:r>
            <w:instrText>PAGE  \* MERGEFORMAT</w:instrText>
          </w:r>
          <w:r w:rsidR="001211E2" w:rsidRPr="00807DE1">
            <w:fldChar w:fldCharType="separate"/>
          </w:r>
          <w:r w:rsidR="002B0F36" w:rsidRPr="002B0F36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1211E2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34" w:rsidRDefault="00807F34">
      <w:r>
        <w:separator/>
      </w:r>
    </w:p>
  </w:footnote>
  <w:footnote w:type="continuationSeparator" w:id="0">
    <w:p w:rsidR="00807F34" w:rsidRDefault="0080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11E2"/>
    <w:rsid w:val="001304F3"/>
    <w:rsid w:val="0014600C"/>
    <w:rsid w:val="0015696E"/>
    <w:rsid w:val="001571C8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5055A"/>
    <w:rsid w:val="00275116"/>
    <w:rsid w:val="00285875"/>
    <w:rsid w:val="00291465"/>
    <w:rsid w:val="00297E64"/>
    <w:rsid w:val="002B0F36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34A21"/>
    <w:rsid w:val="0034068F"/>
    <w:rsid w:val="00341ADC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078DF"/>
    <w:rsid w:val="00412309"/>
    <w:rsid w:val="004361D7"/>
    <w:rsid w:val="00445A58"/>
    <w:rsid w:val="00455221"/>
    <w:rsid w:val="004662C5"/>
    <w:rsid w:val="0048407D"/>
    <w:rsid w:val="00491F66"/>
    <w:rsid w:val="004A4634"/>
    <w:rsid w:val="004A6A6D"/>
    <w:rsid w:val="004D2002"/>
    <w:rsid w:val="004D3497"/>
    <w:rsid w:val="004E0EBA"/>
    <w:rsid w:val="004E3ECF"/>
    <w:rsid w:val="004E60C2"/>
    <w:rsid w:val="004F0938"/>
    <w:rsid w:val="00504500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2582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71EDD"/>
    <w:rsid w:val="00677895"/>
    <w:rsid w:val="006D4F39"/>
    <w:rsid w:val="006D584C"/>
    <w:rsid w:val="00732DFE"/>
    <w:rsid w:val="00742985"/>
    <w:rsid w:val="00747D18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7DE1"/>
    <w:rsid w:val="00807F34"/>
    <w:rsid w:val="008146E0"/>
    <w:rsid w:val="00826100"/>
    <w:rsid w:val="008467A5"/>
    <w:rsid w:val="00867A6A"/>
    <w:rsid w:val="00867FFC"/>
    <w:rsid w:val="00873B99"/>
    <w:rsid w:val="0087444D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4244B"/>
    <w:rsid w:val="00955C4B"/>
    <w:rsid w:val="00967B24"/>
    <w:rsid w:val="00976940"/>
    <w:rsid w:val="0098449B"/>
    <w:rsid w:val="0098755F"/>
    <w:rsid w:val="00993608"/>
    <w:rsid w:val="009A07B9"/>
    <w:rsid w:val="009B609A"/>
    <w:rsid w:val="009B68B5"/>
    <w:rsid w:val="009B7882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7787A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225F8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C6538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446B"/>
    <w:rsid w:val="00F24626"/>
    <w:rsid w:val="00F3010C"/>
    <w:rsid w:val="00F352D5"/>
    <w:rsid w:val="00F550BE"/>
    <w:rsid w:val="00F64168"/>
    <w:rsid w:val="00F71046"/>
    <w:rsid w:val="00F745F2"/>
    <w:rsid w:val="00F77043"/>
    <w:rsid w:val="00F80574"/>
    <w:rsid w:val="00F87100"/>
    <w:rsid w:val="00F93706"/>
    <w:rsid w:val="00F96546"/>
    <w:rsid w:val="00FB40D5"/>
    <w:rsid w:val="00FB6A6F"/>
    <w:rsid w:val="00FC2D99"/>
    <w:rsid w:val="00FE4D20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Footer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Balloon Text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No Spacing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Header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lqashi.com/wp/?page_id=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8758-B782-4E86-8379-9FBD35AB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23</cp:revision>
  <cp:lastPrinted>2019-12-29T08:00:00Z</cp:lastPrinted>
  <dcterms:created xsi:type="dcterms:W3CDTF">2022-07-10T12:49:00Z</dcterms:created>
  <dcterms:modified xsi:type="dcterms:W3CDTF">2024-11-11T20:06:00Z</dcterms:modified>
</cp:coreProperties>
</file>