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221435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EB2FC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كلية  شط العرب الجامعة</w:t>
            </w:r>
          </w:p>
        </w:tc>
      </w:tr>
      <w:tr w:rsidR="00D9103A" w:rsidRPr="00EB2FC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القسم ال</w:t>
            </w:r>
            <w:r w:rsidR="00B646D9"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علمي</w:t>
            </w: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6B052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proofErr w:type="spellStart"/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المحاسبه</w:t>
            </w:r>
            <w:proofErr w:type="spellEnd"/>
          </w:p>
        </w:tc>
      </w:tr>
      <w:tr w:rsidR="00D9103A" w:rsidRPr="00EB2FC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6B052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معايير تدقيق دوليه</w:t>
            </w:r>
          </w:p>
        </w:tc>
      </w:tr>
      <w:tr w:rsidR="00230134" w:rsidRPr="00EB2FC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EB2FC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Pr="00EB2FCA" w:rsidRDefault="00E43F78" w:rsidP="00AB1635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د. علاء الدين عبد الوهاب</w:t>
            </w:r>
          </w:p>
        </w:tc>
      </w:tr>
      <w:tr w:rsidR="00D9103A" w:rsidRPr="00EB2FC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حض</w:t>
            </w:r>
            <w:r w:rsidR="000C0471"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EB2FC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D9103A" w:rsidP="00E43F7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الفصل </w:t>
            </w:r>
            <w:r w:rsidR="000C0471" w:rsidRPr="00EB2FCA">
              <w:rPr>
                <w:rFonts w:ascii="Cambria" w:hAnsi="Cambria" w:cs="Times New Roman" w:hint="eastAs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الأول</w:t>
            </w:r>
            <w:r w:rsidR="000C0471"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bookmarkStart w:id="0" w:name="_GoBack"/>
            <w:bookmarkEnd w:id="0"/>
          </w:p>
        </w:tc>
      </w:tr>
      <w:tr w:rsidR="00D9103A" w:rsidRPr="00EB2FC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B61F91" w:rsidP="00B61F91">
            <w:pPr>
              <w:pStyle w:val="a8"/>
              <w:numPr>
                <w:ilvl w:val="0"/>
                <w:numId w:val="1"/>
              </w:numPr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B61F91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37334F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EB2FC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B2FCA" w:rsidRDefault="0025055A" w:rsidP="00E43F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27</w:t>
            </w:r>
            <w:r w:rsidR="00D9103A"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/</w:t>
            </w:r>
            <w:r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9</w:t>
            </w:r>
            <w:r w:rsidR="00D9103A" w:rsidRPr="00EB2FCA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/</w:t>
            </w:r>
            <w:r w:rsidR="00E43F78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D9103A" w:rsidRPr="00EB2FC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B2FC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EB2FC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EB2FCA" w:rsidRDefault="00D9103A" w:rsidP="006B052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1.</w:t>
            </w:r>
            <w:r w:rsidRPr="00EB2FC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ab/>
            </w:r>
            <w:r w:rsidR="006B0521"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التعريف بمعايير التدقيق الدولية الاساسية للاتحاد الدولي للمحاسبين</w:t>
            </w:r>
          </w:p>
          <w:p w:rsidR="00D9103A" w:rsidRPr="00EB2FCA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IQ"/>
              </w:rPr>
            </w:pPr>
          </w:p>
        </w:tc>
      </w:tr>
      <w:tr w:rsidR="00D9103A" w:rsidRPr="00EB2FC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B0521" w:rsidRPr="00EB2FCA" w:rsidRDefault="0025055A" w:rsidP="006B052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EB2FC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الطالب </w:t>
            </w:r>
            <w:r w:rsidR="006B0521"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="006B0521" w:rsidRPr="00EB2FCA">
              <w:rPr>
                <w:rFonts w:asciiTheme="majorBidi" w:hAnsiTheme="majorBid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</w:t>
            </w:r>
            <w:r w:rsidR="006B0521"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معايير التدقيق الدولية المتعلقة بموضوعات ,مثل: المسؤوليات , التخطيط ,</w:t>
            </w:r>
          </w:p>
          <w:p w:rsidR="006B0521" w:rsidRPr="00EB2FCA" w:rsidRDefault="006B0521" w:rsidP="006B052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الرقابة الداخلية , أدلة الإثبات , نتائج وتقارير المراجعة المجالات المتخصصة , الخدمات ذات</w:t>
            </w:r>
          </w:p>
          <w:p w:rsidR="00807DE1" w:rsidRPr="00EB2FCA" w:rsidRDefault="006B0521" w:rsidP="006B052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العلاقة , البيانات الدولية</w:t>
            </w:r>
          </w:p>
        </w:tc>
      </w:tr>
      <w:tr w:rsidR="00D9103A" w:rsidRPr="00EB2FC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B2FCA" w:rsidRDefault="000C0471" w:rsidP="00EB2FC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</w:rPr>
            </w:pPr>
            <w:r w:rsidRPr="00EB2FCA"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3- </w:t>
            </w:r>
            <w:r w:rsidR="0023122E" w:rsidRPr="00EB2FCA"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ت</w:t>
            </w:r>
            <w:r w:rsidR="00EB2FCA" w:rsidRPr="00EB2FCA"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ع</w:t>
            </w:r>
            <w:r w:rsidR="0023122E" w:rsidRPr="00EB2FCA"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ليم الطالب </w:t>
            </w:r>
            <w:r w:rsidR="00EB2FCA"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- المعرفة والفهم و التعرف على المعايير </w:t>
            </w:r>
            <w:proofErr w:type="spellStart"/>
            <w:r w:rsidR="00EB2FCA"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المرتبطه</w:t>
            </w:r>
            <w:proofErr w:type="spellEnd"/>
            <w:r w:rsidR="00EB2FCA"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بمراحل التدقيق تدقيق العمليات وفحص </w:t>
            </w:r>
            <w:proofErr w:type="spellStart"/>
            <w:r w:rsidR="00EB2FCA"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الرقابه</w:t>
            </w:r>
            <w:proofErr w:type="spellEnd"/>
            <w:r w:rsidR="00EB2FCA"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والاجراءات</w:t>
            </w:r>
          </w:p>
        </w:tc>
      </w:tr>
      <w:tr w:rsidR="00D9103A" w:rsidRPr="00EB2FC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EB2FCA" w:rsidRPr="00EB2FCA" w:rsidRDefault="00632561" w:rsidP="00EB2FC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4</w:t>
            </w:r>
            <w:r w:rsidRPr="00EB2FCA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- </w:t>
            </w:r>
            <w:r w:rsidR="00EB2FCA"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فهم اجراءات التدقيق </w:t>
            </w:r>
            <w:proofErr w:type="spellStart"/>
            <w:r w:rsidR="00EB2FCA"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ممايمكنه</w:t>
            </w:r>
            <w:proofErr w:type="spellEnd"/>
            <w:r w:rsidR="00EB2FCA"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من الحصول على مؤهل مهني كمدقق حسابات ويعتبر مدخلا</w:t>
            </w:r>
          </w:p>
          <w:p w:rsidR="00807DE1" w:rsidRPr="00EB2FCA" w:rsidRDefault="00EB2FCA" w:rsidP="00EB2FC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جديدا للطالب بعد أن تعرف على المحاسبة لينمي مهارة التدقيق .</w:t>
            </w:r>
          </w:p>
          <w:p w:rsidR="00632561" w:rsidRPr="00EB2FC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bidi="ar-IQ"/>
              </w:rPr>
            </w:pPr>
          </w:p>
        </w:tc>
      </w:tr>
      <w:tr w:rsidR="00EB2FCA" w:rsidRPr="00EB2FC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EB2FCA" w:rsidRPr="00EB2FCA" w:rsidRDefault="00EB2FCA" w:rsidP="00EB2FC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5-</w:t>
            </w:r>
            <w:r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محالولة</w:t>
            </w:r>
            <w:proofErr w:type="spellEnd"/>
            <w:r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الوقوف على أهمية الاثباتات و الادلة والتعرف على كيفية تجميعها و انواعها</w:t>
            </w:r>
          </w:p>
          <w:p w:rsidR="00EB2FCA" w:rsidRPr="00EB2FCA" w:rsidRDefault="00EB2FCA" w:rsidP="00EB2FC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واستخداماتها, ثم التطرق للتقارير وربطها بنتيجة الادلة</w:t>
            </w:r>
          </w:p>
        </w:tc>
      </w:tr>
      <w:tr w:rsidR="00EB2FCA" w:rsidRPr="00EB2FC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EB2FCA" w:rsidRDefault="00EB2FCA" w:rsidP="00EB2FC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6- </w:t>
            </w:r>
            <w:r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4 - إدراك ومعرفة دور نظام الرقابة الداخلية وعملية </w:t>
            </w:r>
            <w:proofErr w:type="spellStart"/>
            <w:r w:rsidRPr="00EB2FCA">
              <w:rPr>
                <w:rFonts w:ascii="Cambria" w:hAnsi="Cambria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تدقيقة</w:t>
            </w:r>
            <w:proofErr w:type="spellEnd"/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:rsidR="008A3F48" w:rsidRPr="00D9103A" w:rsidRDefault="008A3F48" w:rsidP="0023122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المعرفة والفهم و التعرف على المعايير </w:t>
            </w:r>
            <w:proofErr w:type="spellStart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المرتبطه</w:t>
            </w:r>
            <w:proofErr w:type="spellEnd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بمراحل التدقيق تدقيق العمليات وفحص </w:t>
            </w:r>
            <w:proofErr w:type="spellStart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الرقابه</w:t>
            </w:r>
            <w:proofErr w:type="spellEnd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والاجراءات</w:t>
            </w:r>
          </w:p>
          <w:p w:rsidR="00EB2FCA" w:rsidRPr="00EB2FCA" w:rsidRDefault="008A3F48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B2FCA">
              <w:rPr>
                <w:rtl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فهم اجراءات التدقيق </w:t>
            </w:r>
            <w:proofErr w:type="spellStart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ممايمكنه</w:t>
            </w:r>
            <w:proofErr w:type="spellEnd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من الحصول على مؤهل مهني كمدقق حسابات ويعتبر مدخلا</w:t>
            </w:r>
          </w:p>
          <w:p w:rsidR="008A3F48" w:rsidRPr="00D9103A" w:rsidRDefault="00EB2FCA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جديدا للطالب بعد أن تعرف على المحاسبة لينمي مهارة التدقيق .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EB2FCA" w:rsidRPr="00EB2FCA" w:rsidRDefault="008A3F48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23122E">
              <w:rPr>
                <w:rtl/>
              </w:rPr>
              <w:t xml:space="preserve"> </w:t>
            </w:r>
            <w:r w:rsidR="00EB2FCA">
              <w:rPr>
                <w:rtl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محاولة الوقوف على أهمية الاثباتات و الادلة والتعرف على كيفية تجميعها و انواعها</w:t>
            </w:r>
          </w:p>
          <w:p w:rsidR="008A3F48" w:rsidRPr="00D9103A" w:rsidRDefault="00EB2FCA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واستخداماتها, ثم التطرق للتقارير وربطها بنتيجة الادلة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EB2FC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إدراك ومعرفة دور نظام الرقابة الداخلية وعملية </w:t>
            </w:r>
            <w:proofErr w:type="spellStart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تدقيقة</w:t>
            </w:r>
            <w:proofErr w:type="spellEnd"/>
          </w:p>
          <w:p w:rsidR="008A3F48" w:rsidRPr="00D9103A" w:rsidRDefault="008A3F48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 w:rsidR="00B5216B" w:rsidRPr="00EB2FC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توضيح أهمية نظام الرقابة الداخلية و عملية تدقيق الرقابة الداخلية</w:t>
            </w:r>
            <w:r w:rsidR="00EB2FCA" w:rsidRPr="00EB2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</w:p>
          <w:p w:rsidR="00EB2FCA" w:rsidRPr="00EB2FCA" w:rsidRDefault="008A3F48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ب1</w:t>
            </w:r>
            <w:r w:rsidR="007F622A" w:rsidRPr="007F622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 </w:t>
            </w:r>
            <w:r w:rsidR="00EB2FCA">
              <w:rPr>
                <w:rtl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فهم اجراءات التدقيق </w:t>
            </w:r>
            <w:proofErr w:type="spellStart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ممايمكنه</w:t>
            </w:r>
            <w:proofErr w:type="spellEnd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من الحصول على مؤهل مهني كمدقق حسابات ويعتبر مدخلا</w:t>
            </w:r>
          </w:p>
          <w:p w:rsidR="008A3F48" w:rsidRPr="00D9103A" w:rsidRDefault="00EB2FCA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جديدا للطالب بعد أن تعرف على المحاسبة لينمي مهارة التدقيق</w:t>
            </w:r>
          </w:p>
          <w:p w:rsidR="00EB2FCA" w:rsidRPr="00EB2FCA" w:rsidRDefault="008A3F48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F622A">
              <w:rPr>
                <w:rtl/>
              </w:rPr>
              <w:t xml:space="preserve"> </w:t>
            </w:r>
            <w:r w:rsidR="00EB2FCA">
              <w:rPr>
                <w:rtl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محاولة الوقوف على أهمية الاثباتات و الادلة والتعرف على كيفية تجميعها و انواعها</w:t>
            </w:r>
          </w:p>
          <w:p w:rsidR="008A3F48" w:rsidRPr="00D9103A" w:rsidRDefault="00EB2FCA" w:rsidP="00EB2F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واستخداماتها, ثم التطرق للتقارير وربطها بنتيجة الادلة.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F622A">
              <w:rPr>
                <w:rtl/>
              </w:rPr>
              <w:t xml:space="preserve"> </w:t>
            </w:r>
            <w:r w:rsidR="00EB2FCA">
              <w:rPr>
                <w:rtl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إدراك ومعرفة دور نظام الرقابة الداخلية وعملية </w:t>
            </w:r>
            <w:proofErr w:type="spellStart"/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تدقيقة</w:t>
            </w:r>
            <w:proofErr w:type="spellEnd"/>
            <w:r w:rsidR="00EB2FCA" w:rsidRPr="00EB2FC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</w:t>
            </w:r>
            <w:r w:rsidR="007F622A">
              <w:rPr>
                <w:rtl/>
              </w:rPr>
              <w:t xml:space="preserve"> </w:t>
            </w:r>
            <w:r w:rsidR="00EB2FCA">
              <w:rPr>
                <w:rtl/>
              </w:rPr>
              <w:t xml:space="preserve"> </w:t>
            </w:r>
            <w:r w:rsidR="00EB2FCA" w:rsidRPr="00EB2FC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أ5-  توضيح أهمية نظام الرقابة الداخلية و عملية تدقيق الرقابة الداخلية</w:t>
            </w:r>
            <w:r w:rsidR="00EB2FCA" w:rsidRPr="00EB2FC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:rsidR="00B5216B" w:rsidRDefault="00B5216B" w:rsidP="007F622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7F622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proofErr w:type="spellStart"/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7F622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ضريبيه</w:t>
            </w:r>
            <w:proofErr w:type="spellEnd"/>
            <w:r w:rsidR="007F622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والتواصل مع الطلاب .</w:t>
            </w:r>
          </w:p>
          <w:p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المحاضرة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الكلية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المدرس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اهتمام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والطالب  لأنها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عمله 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المشاركة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المهارية</w:t>
            </w:r>
            <w:proofErr w:type="spellEnd"/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العملي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 على شبكة الانترنت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مقدمه تمهيديه عن المعايير </w:t>
            </w:r>
            <w:proofErr w:type="spellStart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الدوليه</w:t>
            </w:r>
            <w:proofErr w:type="spellEnd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للتدقيق / أمور تمهيديه 199-100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المسؤوليات 299-200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المسؤوليات 299-200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التخطيط 399-300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الرقابه</w:t>
            </w:r>
            <w:proofErr w:type="spellEnd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الداخليه</w:t>
            </w:r>
            <w:proofErr w:type="spellEnd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499-400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الرقابه</w:t>
            </w:r>
            <w:proofErr w:type="spellEnd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الداخليه</w:t>
            </w:r>
            <w:proofErr w:type="spellEnd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499-400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أدله الاثبات 599-500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7F622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EB2FC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الاستفاده</w:t>
            </w:r>
            <w:proofErr w:type="spellEnd"/>
            <w:r w:rsidRPr="00EB2FC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من عمل أخرين 699-600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FC326E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معيار التدقيق 1009 طرق التدقيق بمساعده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FA3B7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3B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FC326E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معيار التدقيق الدولي (700) حول تكوين رأي واعداد تقرير تدقيق حول البيانات </w:t>
            </w:r>
            <w:proofErr w:type="spellStart"/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الماليه</w:t>
            </w:r>
            <w:proofErr w:type="spellEnd"/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معيار التدقيق الدولي (705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FC326E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ادله التدقيق الداخلي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FC326E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ادله التدقيق الداخلي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FC326E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C32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ادله التدقيق الداخلي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EB2FC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C335AE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مراجعه واستفسارات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3122E" w:rsidRPr="0023122E" w:rsidRDefault="0023122E" w:rsidP="002312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2312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المحاسبه</w:t>
            </w:r>
            <w:proofErr w:type="spellEnd"/>
            <w:r w:rsidRPr="002312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والتحاسب الضريبي (الاساسيات والمفاهيم والتطبيقات )</w:t>
            </w:r>
          </w:p>
          <w:p w:rsidR="00F80574" w:rsidRPr="0087444D" w:rsidRDefault="0023122E" w:rsidP="002312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2312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2312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طلال محمد علي جرجاوي – المدرس هيثم علي محمد </w:t>
            </w:r>
            <w:proofErr w:type="spellStart"/>
            <w:r w:rsidRPr="002312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العكيلي</w:t>
            </w:r>
            <w:proofErr w:type="spellEnd"/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335AE" w:rsidRPr="00C335AE" w:rsidRDefault="00C335AE" w:rsidP="00C335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المحاسبه</w:t>
            </w:r>
            <w:proofErr w:type="spellEnd"/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الضريبيه</w:t>
            </w:r>
            <w:proofErr w:type="spellEnd"/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والتحاسب الضريبي في العراق</w:t>
            </w:r>
          </w:p>
          <w:p w:rsidR="00DF400E" w:rsidRPr="0087444D" w:rsidRDefault="00C335AE" w:rsidP="00C335AE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C335A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محمد حلو داود الخرسان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6546" w:rsidRPr="0087444D" w:rsidRDefault="00C335AE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الدوريات والدراسات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المتعلقه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بالتحاسب الضريبي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زمنع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التهرب الضريبي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موقع على الانترنت (مكتبة مبتعث)</w:t>
            </w:r>
          </w:p>
          <w:p w:rsidR="00F96546" w:rsidRPr="00F96546" w:rsidRDefault="00A42FE7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9" w:history="1">
              <w:r w:rsidR="00F96546" w:rsidRPr="0035435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http://alqashi.com/wp/?page_id=801</w:t>
              </w:r>
            </w:hyperlink>
            <w:r w:rsidR="00F965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مكتبة ظاهر القشي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E7" w:rsidRDefault="00A42FE7">
      <w:r>
        <w:separator/>
      </w:r>
    </w:p>
  </w:endnote>
  <w:endnote w:type="continuationSeparator" w:id="0">
    <w:p w:rsidR="00A42FE7" w:rsidRDefault="00A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E43F78" w:rsidRPr="00E43F78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E7" w:rsidRDefault="00A42FE7">
      <w:r>
        <w:separator/>
      </w:r>
    </w:p>
  </w:footnote>
  <w:footnote w:type="continuationSeparator" w:id="0">
    <w:p w:rsidR="00A42FE7" w:rsidRDefault="00A4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32C2"/>
    <w:rsid w:val="000428A6"/>
    <w:rsid w:val="00056F46"/>
    <w:rsid w:val="00063AD7"/>
    <w:rsid w:val="00070BE9"/>
    <w:rsid w:val="0008002F"/>
    <w:rsid w:val="00090A55"/>
    <w:rsid w:val="00096DCD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435"/>
    <w:rsid w:val="00221F12"/>
    <w:rsid w:val="00230134"/>
    <w:rsid w:val="0023122E"/>
    <w:rsid w:val="002358AF"/>
    <w:rsid w:val="00236F0D"/>
    <w:rsid w:val="0023793A"/>
    <w:rsid w:val="00242DCC"/>
    <w:rsid w:val="00244217"/>
    <w:rsid w:val="0025055A"/>
    <w:rsid w:val="0025060D"/>
    <w:rsid w:val="00275116"/>
    <w:rsid w:val="00285875"/>
    <w:rsid w:val="00291465"/>
    <w:rsid w:val="00297E64"/>
    <w:rsid w:val="002B2106"/>
    <w:rsid w:val="002B28B2"/>
    <w:rsid w:val="002B75FC"/>
    <w:rsid w:val="002C74A2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1ADC"/>
    <w:rsid w:val="00372012"/>
    <w:rsid w:val="0037334F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5A58"/>
    <w:rsid w:val="00455221"/>
    <w:rsid w:val="00457D69"/>
    <w:rsid w:val="004662C5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36B36"/>
    <w:rsid w:val="00546948"/>
    <w:rsid w:val="005527D4"/>
    <w:rsid w:val="0056285D"/>
    <w:rsid w:val="00572AC1"/>
    <w:rsid w:val="00581B3C"/>
    <w:rsid w:val="005827E2"/>
    <w:rsid w:val="00584D07"/>
    <w:rsid w:val="00584DA6"/>
    <w:rsid w:val="005921A3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B0521"/>
    <w:rsid w:val="006D4F39"/>
    <w:rsid w:val="006D584C"/>
    <w:rsid w:val="00732DFE"/>
    <w:rsid w:val="00742985"/>
    <w:rsid w:val="00747D18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7F622A"/>
    <w:rsid w:val="00807DE1"/>
    <w:rsid w:val="008146E0"/>
    <w:rsid w:val="00826100"/>
    <w:rsid w:val="008467A5"/>
    <w:rsid w:val="00867A6A"/>
    <w:rsid w:val="00867FFC"/>
    <w:rsid w:val="00873B99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22A0"/>
    <w:rsid w:val="00A07775"/>
    <w:rsid w:val="00A11A57"/>
    <w:rsid w:val="00A12DBC"/>
    <w:rsid w:val="00A2126F"/>
    <w:rsid w:val="00A2217E"/>
    <w:rsid w:val="00A30E4D"/>
    <w:rsid w:val="00A32E9F"/>
    <w:rsid w:val="00A42FE7"/>
    <w:rsid w:val="00A658DD"/>
    <w:rsid w:val="00A676A4"/>
    <w:rsid w:val="00A717B0"/>
    <w:rsid w:val="00A7787A"/>
    <w:rsid w:val="00A85288"/>
    <w:rsid w:val="00AB1635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0BA7"/>
    <w:rsid w:val="00B412FE"/>
    <w:rsid w:val="00B5102D"/>
    <w:rsid w:val="00B5216B"/>
    <w:rsid w:val="00B521B7"/>
    <w:rsid w:val="00B55BC1"/>
    <w:rsid w:val="00B61F9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35AE"/>
    <w:rsid w:val="00C342BC"/>
    <w:rsid w:val="00C370D1"/>
    <w:rsid w:val="00C4180D"/>
    <w:rsid w:val="00C67940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2019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E17DF2"/>
    <w:rsid w:val="00E2684E"/>
    <w:rsid w:val="00E43F78"/>
    <w:rsid w:val="00E4594B"/>
    <w:rsid w:val="00E61516"/>
    <w:rsid w:val="00E734E3"/>
    <w:rsid w:val="00E7597F"/>
    <w:rsid w:val="00E81C0D"/>
    <w:rsid w:val="00E94FF6"/>
    <w:rsid w:val="00E953C0"/>
    <w:rsid w:val="00E9635D"/>
    <w:rsid w:val="00EB2FCA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A3B7C"/>
    <w:rsid w:val="00FB40D5"/>
    <w:rsid w:val="00FB6A6F"/>
    <w:rsid w:val="00FC2D99"/>
    <w:rsid w:val="00FC326E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lqashi.com/wp/?page_id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B59B-9B3F-4B82-826E-D47E4EFD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العنوان</vt:lpstr>
      </vt:variant>
      <vt:variant>
        <vt:i4>1</vt:i4>
      </vt:variant>
    </vt:vector>
  </HeadingPairs>
  <TitlesOfParts>
    <vt:vector size="4" baseType="lpstr">
      <vt:lpstr>وزارة التعليم العالي والبـحث العلمي</vt:lpstr>
      <vt:lpstr>وزارة التعليم العالي والبـحث العلمي</vt:lpstr>
      <vt:lpstr>    جـــــهاز الإشـــــراف والتقـــويم العلــمي</vt:lpstr>
      <vt:lpstr>وزارة التعليم العالي والبـحث العلمي</vt:lpstr>
    </vt:vector>
  </TitlesOfParts>
  <Company>SACC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8</cp:revision>
  <cp:lastPrinted>2019-12-29T08:00:00Z</cp:lastPrinted>
  <dcterms:created xsi:type="dcterms:W3CDTF">2022-11-12T20:29:00Z</dcterms:created>
  <dcterms:modified xsi:type="dcterms:W3CDTF">2024-11-11T21:37:00Z</dcterms:modified>
</cp:coreProperties>
</file>