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A27C9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1324F69B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0C154EB6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28794AA6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5031946D" w14:textId="77777777" w:rsidR="00063AD7" w:rsidRDefault="00063AD7" w:rsidP="00063AD7">
      <w:pPr>
        <w:rPr>
          <w:sz w:val="16"/>
          <w:szCs w:val="16"/>
          <w:rtl/>
        </w:rPr>
      </w:pPr>
    </w:p>
    <w:p w14:paraId="1917F670" w14:textId="77777777" w:rsidR="00182552" w:rsidRDefault="00182552" w:rsidP="00182552">
      <w:pPr>
        <w:rPr>
          <w:rtl/>
        </w:rPr>
      </w:pPr>
    </w:p>
    <w:p w14:paraId="4755DC30" w14:textId="77777777" w:rsidR="00182552" w:rsidRDefault="00182552" w:rsidP="00182552">
      <w:pPr>
        <w:rPr>
          <w:rtl/>
          <w:lang w:bidi="ar-IQ"/>
        </w:rPr>
      </w:pPr>
    </w:p>
    <w:p w14:paraId="43ECEB70" w14:textId="77777777" w:rsidR="00182552" w:rsidRDefault="00182552" w:rsidP="00182552">
      <w:pPr>
        <w:rPr>
          <w:rtl/>
          <w:lang w:bidi="ar-IQ"/>
        </w:rPr>
      </w:pPr>
    </w:p>
    <w:p w14:paraId="731104E5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6EF5C3E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5690806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DC30448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965B450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17D13C82" w:rsidR="00807DE1" w:rsidRPr="00D9103A" w:rsidRDefault="005000D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 ادارة الاعمال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9402C36" w:rsidR="00230134" w:rsidRDefault="000C0471" w:rsidP="005000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5000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 الحسن رحيم حمادي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7CF0F89E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66EE3156" w:rsidR="00807DE1" w:rsidRPr="00D9103A" w:rsidRDefault="0053745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  <w:bookmarkStart w:id="0" w:name="_GoBack"/>
            <w:bookmarkEnd w:id="0"/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4AF8B456" w:rsidR="00807DE1" w:rsidRPr="00D9103A" w:rsidRDefault="00240685" w:rsidP="002406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B966C1C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5C0AC1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05F2B6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4BE36C6" w14:textId="62967FEF" w:rsidR="00D9103A" w:rsidRPr="00230134" w:rsidRDefault="00D9103A" w:rsidP="0075506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550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مبادئ الادارة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0484A82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04CF4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E0FED06" w14:textId="27809E36" w:rsidR="00807DE1" w:rsidRPr="00230134" w:rsidRDefault="0025055A" w:rsidP="00C233B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بعناصر الادارة وفق مفردات المنهج المقرر.</w:t>
            </w:r>
          </w:p>
        </w:tc>
      </w:tr>
      <w:tr w:rsidR="00D9103A" w:rsidRPr="00D9103A" w14:paraId="65D4DD0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790B74D" w14:textId="10F3365F" w:rsidR="00807DE1" w:rsidRPr="00D9103A" w:rsidRDefault="000C0471" w:rsidP="00C233B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C233B8"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التعريف بالاتجاهات الحديثة في الادارة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14:paraId="37B090CC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FA657" w14:textId="1DDB36F8" w:rsidR="00807DE1" w:rsidRDefault="00632561" w:rsidP="00C233B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بيان المشاكل التي تواجهها الادارة و سبل تجاوزها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90D20CF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AD14609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54598F0A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5DA214D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97871C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3CB0D294" w14:textId="774567F9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بالمدارس و المبادئ الادارية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68B4CF5" w14:textId="2D9CEDC0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بيان مفهوم التخطيط و مراحله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09144101" w14:textId="21D24FA5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بالتنظيم الاداري و انواعه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90E695A" w14:textId="4E0DC43A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بمفهوم الرقابة الادارية و انواعها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3D3225D" w14:textId="05965C3C" w:rsidR="008A3F48" w:rsidRPr="00D9103A" w:rsidRDefault="008A3F48" w:rsidP="00C233B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بالقيادة الادارية و انواعها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D9103A" w:rsidRPr="00D9103A" w14:paraId="7C47DE7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7C3C66CD" w14:textId="77777777" w:rsidR="008A3F48" w:rsidRPr="00D9103A" w:rsidRDefault="008A3F48" w:rsidP="00C233B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</w:p>
          <w:p w14:paraId="496329D0" w14:textId="1C22AFE5" w:rsidR="008A3F48" w:rsidRPr="00D9103A" w:rsidRDefault="00C233B8" w:rsidP="003C782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3C782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عملية لمشاكل الادارية في عدد من الدوائر الحكومية و سبل تجاوزها.</w:t>
            </w:r>
          </w:p>
        </w:tc>
      </w:tr>
      <w:tr w:rsidR="00D9103A" w:rsidRPr="00D9103A" w14:paraId="6DE95693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C2F4EA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2A93E238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AB33A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E83C18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25563CB0" w14:textId="359EE45D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الضريبية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14:paraId="7862E8DA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058BE6E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557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357905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065A5AB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140D73C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1498D0F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B55369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04DD09E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448FF57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F785A1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724E1A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CF1671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7A5B1D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631FE5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59AD6BE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126DF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710804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F1619C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DE8D0F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F1D30E6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AA3F5E4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05F9921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DE9D82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16EA20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1D2094C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080766F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5266E5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2A2D445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B4C6CF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FD4E77" w14:textId="77777777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14:paraId="29B82C7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98F514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3A3EFB54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25A4998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6A184B0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6C2ED3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A4D3B27" w14:textId="77777777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E33397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38"/>
        <w:gridCol w:w="3946"/>
        <w:gridCol w:w="1440"/>
        <w:gridCol w:w="1724"/>
      </w:tblGrid>
      <w:tr w:rsidR="00D9103A" w:rsidRPr="00D9103A" w14:paraId="581AB2D7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5FA22E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4ABA70C9" w14:textId="77777777" w:rsidTr="005000DC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A06752B" w14:textId="77777777" w:rsidTr="005000DC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7AF6FBBD" w:rsidR="00DC6538" w:rsidRPr="00D9103A" w:rsidRDefault="005000D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9D6F5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A836CA" w14:textId="445E33E7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ماهية الادارة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40D2590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766F4BC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63C78798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8A9AE01" w14:textId="77777777"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C34EADC" w14:textId="77777777" w:rsidTr="005000DC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4C9856B1" w:rsidR="00DC6538" w:rsidRPr="00D9103A" w:rsidRDefault="005000D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81789BA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A0B7BA3" w14:textId="1C2B2BBA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تطور الفكر الاداري و مساهمات المدارس الاساسية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258045C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5AC2426" w14:textId="77777777"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5ACFF58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1815419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B94288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DE4C90B" w14:textId="73D78F0B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منظمات الاعمال و البيئة المحيطة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0DB7A4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EEE3210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5C0AFF2" w14:textId="77777777" w:rsidTr="005000DC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564C3CE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8C6A3F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AD4AA68" w14:textId="0964A5A0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اهداف منظمة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8DB2AF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B0D0E7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8189FA3" w14:textId="77777777" w:rsidTr="005000DC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3A85C5B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37FA1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08318C1" w14:textId="7A3D4034" w:rsidR="00DC6538" w:rsidRPr="00DC6538" w:rsidRDefault="005000DC" w:rsidP="005000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00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صياغة الاستراتيجيات و السياسات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55E5E8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05C88A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596459" w14:textId="77777777" w:rsidTr="005000DC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7C8118A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59B8D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F15C7E2" w14:textId="2EF72ACF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اتخاذ القرارات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E3B160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C8D5F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62DCD42" w14:textId="77777777" w:rsidTr="005000DC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0346EE6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9E794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C9F29F3" w14:textId="2D584C3D" w:rsidR="00DC6538" w:rsidRPr="00DC6538" w:rsidRDefault="005000DC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التنظيم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0B7EE20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372414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35211A75" w14:textId="77777777" w:rsidTr="005000DC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7CA49E7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0A640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484666F" w14:textId="79B1C54A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المبادئ الاساسية النظرية التنظيم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36BCFE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131A4C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458AE01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54E2944F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71A3B3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0D07379" w14:textId="53FD2487" w:rsidR="00DC6538" w:rsidRPr="00DC6538" w:rsidRDefault="00003152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طبيعة تصميم التنظيم و علاقته بأهداف منظمة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5A3F2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E35634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BF1A3FA" w14:textId="77777777" w:rsidTr="005000DC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303AA23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779735F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474E8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FA737F2" w14:textId="5C6C9784" w:rsidR="00DC6538" w:rsidRPr="00DC6538" w:rsidRDefault="00003152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التوعية و القيادة الادارية</w:t>
            </w:r>
            <w:r w:rsidR="000979C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B67E0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CD57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7FEFF9" w14:textId="77777777" w:rsidTr="005000DC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78BED7FD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EAB1E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810A44B" w14:textId="46BD2E2A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المبادئ الاساسية لدراسة القيادة الادارية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BBEF1F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754B43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AE07ECF" w14:textId="77777777" w:rsidTr="005000DC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25CA07B3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8104F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8A782B1" w14:textId="4F0AEAE0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الرقابة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6B7566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79E39C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96DF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E944D3D" w14:textId="77777777" w:rsidTr="005000DC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667E010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64F0539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7A72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27F47C4" w14:textId="6B65E386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الخطوات الاساسية للرقابة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3DB6C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19A45EA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21E988B" w14:textId="77777777" w:rsidTr="005000DC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58BCBD3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A564B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5162529" w14:textId="71992637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و التطوير</w:t>
            </w:r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793B8A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91FD6EE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402DE2" w14:textId="77777777" w:rsidTr="005000DC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0880533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94D2D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69FC84" w14:textId="4E9C0B7B" w:rsidR="00DC6538" w:rsidRPr="00DC6538" w:rsidRDefault="00003152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مقدمة في الادارة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الاستيراتيجية</w:t>
            </w:r>
            <w:proofErr w:type="spellEnd"/>
            <w:r w:rsidR="00DC6538"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76DD39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5A79DB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70298C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5D3E05" w14:textId="3B917DA7" w:rsidR="00F80574" w:rsidRPr="0087444D" w:rsidRDefault="003C782C" w:rsidP="005000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الادارة نظرة معاصرة لدكتور محمود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المرسومي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 الدكتور حسين عنيزة و الاستاذ سنان الموسوي و الدكتور يوسف الطائي</w:t>
            </w:r>
          </w:p>
        </w:tc>
      </w:tr>
      <w:tr w:rsidR="00D9103A" w:rsidRPr="00D9103A" w14:paraId="2A2B474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B2946" w14:textId="0A0B41DE" w:rsidR="00DF400E" w:rsidRPr="0087444D" w:rsidRDefault="003C782C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الادارة و الاعمال لدكتور صالح مهدي محسن العامري و الدكتور طاهر محسن منصور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الغالبي</w:t>
            </w:r>
            <w:proofErr w:type="spellEnd"/>
          </w:p>
        </w:tc>
      </w:tr>
      <w:tr w:rsidR="00D9103A" w:rsidRPr="00D9103A" w14:paraId="645BF14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95A81BA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CC5EC1" w14:textId="2704E609" w:rsidR="00F96546" w:rsidRPr="005000DC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43E684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6520C5" w14:textId="36B1AD22" w:rsidR="00F96546" w:rsidRPr="00F96546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892AB1A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1046B8A2" w14:textId="77777777" w:rsidR="001C1CD7" w:rsidRDefault="001C1CD7" w:rsidP="00C038CD">
      <w:pPr>
        <w:spacing w:after="240" w:line="276" w:lineRule="auto"/>
        <w:rPr>
          <w:sz w:val="24"/>
          <w:szCs w:val="24"/>
          <w:lang w:bidi="ar-IQ"/>
        </w:rPr>
      </w:pPr>
    </w:p>
    <w:p w14:paraId="0A1A05E5" w14:textId="77777777" w:rsidR="00240685" w:rsidRDefault="00240685" w:rsidP="00240685">
      <w:pPr>
        <w:spacing w:after="240" w:line="276" w:lineRule="auto"/>
        <w:rPr>
          <w:sz w:val="24"/>
          <w:szCs w:val="24"/>
          <w:rtl/>
          <w:lang w:bidi="ar-IQ"/>
        </w:rPr>
      </w:pPr>
    </w:p>
    <w:p w14:paraId="2360C63C" w14:textId="77777777" w:rsidR="00240685" w:rsidRPr="00003FB2" w:rsidRDefault="00240685" w:rsidP="00240685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                                                                                توقيع رئيس القسم </w:t>
      </w:r>
    </w:p>
    <w:p w14:paraId="52A1AD6F" w14:textId="77777777" w:rsidR="00240685" w:rsidRPr="00003FB2" w:rsidRDefault="00240685" w:rsidP="00240685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                                             </w:t>
      </w:r>
      <w:proofErr w:type="spellStart"/>
      <w:r w:rsidRPr="00003FB2">
        <w:rPr>
          <w:rFonts w:hint="cs"/>
          <w:b/>
          <w:bCs/>
          <w:sz w:val="24"/>
          <w:szCs w:val="24"/>
          <w:rtl/>
          <w:lang w:bidi="ar-IQ"/>
        </w:rPr>
        <w:t>أ.م.د</w:t>
      </w:r>
      <w:proofErr w:type="spellEnd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عبد الكريم عبد الغني </w:t>
      </w:r>
    </w:p>
    <w:p w14:paraId="422B16E4" w14:textId="77777777" w:rsidR="00240685" w:rsidRPr="002A432E" w:rsidRDefault="00240685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240685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7273" w14:textId="77777777" w:rsidR="003916EA" w:rsidRDefault="003916EA">
      <w:r>
        <w:separator/>
      </w:r>
    </w:p>
  </w:endnote>
  <w:endnote w:type="continuationSeparator" w:id="0">
    <w:p w14:paraId="428DFD49" w14:textId="77777777" w:rsidR="003916EA" w:rsidRDefault="0039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53745B" w:rsidRPr="0053745B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307F4" w14:textId="77777777" w:rsidR="003916EA" w:rsidRDefault="003916EA">
      <w:r>
        <w:separator/>
      </w:r>
    </w:p>
  </w:footnote>
  <w:footnote w:type="continuationSeparator" w:id="0">
    <w:p w14:paraId="4F6B1F28" w14:textId="77777777" w:rsidR="003916EA" w:rsidRDefault="0039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152"/>
    <w:rsid w:val="00005774"/>
    <w:rsid w:val="00007B9F"/>
    <w:rsid w:val="000428A6"/>
    <w:rsid w:val="00056F46"/>
    <w:rsid w:val="00063AD7"/>
    <w:rsid w:val="00070BE9"/>
    <w:rsid w:val="000774B3"/>
    <w:rsid w:val="0008002F"/>
    <w:rsid w:val="00090A55"/>
    <w:rsid w:val="000979CC"/>
    <w:rsid w:val="000A1C7A"/>
    <w:rsid w:val="000A67F9"/>
    <w:rsid w:val="000A69B4"/>
    <w:rsid w:val="000B2D97"/>
    <w:rsid w:val="000B4430"/>
    <w:rsid w:val="000B4E28"/>
    <w:rsid w:val="000B68C5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0685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72012"/>
    <w:rsid w:val="00377BB5"/>
    <w:rsid w:val="003916EA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C782C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662C5"/>
    <w:rsid w:val="00474E39"/>
    <w:rsid w:val="00476176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00DC"/>
    <w:rsid w:val="00504500"/>
    <w:rsid w:val="00516004"/>
    <w:rsid w:val="00534329"/>
    <w:rsid w:val="00535D14"/>
    <w:rsid w:val="0053745B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6E1232"/>
    <w:rsid w:val="00732DFE"/>
    <w:rsid w:val="00742985"/>
    <w:rsid w:val="00747D18"/>
    <w:rsid w:val="00755067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5F62"/>
    <w:rsid w:val="00826100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2F47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B18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233B8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DF6E3D"/>
    <w:rsid w:val="00E17DF2"/>
    <w:rsid w:val="00E2684E"/>
    <w:rsid w:val="00E4594B"/>
    <w:rsid w:val="00E61516"/>
    <w:rsid w:val="00E734E3"/>
    <w:rsid w:val="00E7597F"/>
    <w:rsid w:val="00E77320"/>
    <w:rsid w:val="00E81C0D"/>
    <w:rsid w:val="00E9396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3194-4D2B-4312-A709-C78F9300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4</cp:revision>
  <cp:lastPrinted>2019-12-29T08:00:00Z</cp:lastPrinted>
  <dcterms:created xsi:type="dcterms:W3CDTF">2024-11-09T06:35:00Z</dcterms:created>
  <dcterms:modified xsi:type="dcterms:W3CDTF">2024-11-14T21:58:00Z</dcterms:modified>
</cp:coreProperties>
</file>