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89F" w14:textId="764213A2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2ED3962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51BF3479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6CFFD2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2F4CF7ED" w14:textId="1E82DC71" w:rsidR="00D1550E" w:rsidRPr="002E1A15" w:rsidRDefault="002E1A15" w:rsidP="002E1A1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يقدم وصف الدورة هذا مسحًا مختصرًا لأهم الخصائص، ومخرجات التعلم المتوقعة، ويوضح ما إذا كان الطلاب قد استفادوا بشكل كامل من فرص التعلم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ويجب أن تتطابق هذه الخصائص مع وصف البرنامج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>.</w:t>
            </w:r>
          </w:p>
        </w:tc>
      </w:tr>
    </w:tbl>
    <w:p w14:paraId="642F10D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F02EF" w:rsidRPr="00DB131F" w14:paraId="15291CD1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CA5DBDF" w14:textId="77777777" w:rsidR="00CF02EF" w:rsidRPr="00DB131F" w:rsidRDefault="00CF02EF" w:rsidP="00CF02E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01F0FD11" w14:textId="344D6C44" w:rsidR="00CF02EF" w:rsidRPr="00CF02E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62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CF02EF" w:rsidRPr="00DB131F" w14:paraId="37BB771F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4334C6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5E4C7F46" w14:textId="4F9192C4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اللغة الأنكليزية</w:t>
            </w:r>
          </w:p>
        </w:tc>
      </w:tr>
      <w:tr w:rsidR="00CF02EF" w:rsidRPr="00DB131F" w14:paraId="5CB65E6E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DD5C02C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7C3A1EA3" w14:textId="0F673618" w:rsidR="00CF02EF" w:rsidRPr="00DB131F" w:rsidRDefault="00A01AC0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جرائم البعث</w:t>
            </w:r>
          </w:p>
        </w:tc>
      </w:tr>
      <w:tr w:rsidR="00CF02EF" w:rsidRPr="00DB131F" w14:paraId="1D785648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518EAE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2DB988D" w14:textId="2010163A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CF02EF" w:rsidRPr="00DB131F" w14:paraId="35B5FA37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92C1B4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151DDD0D" w14:textId="0B74DB5B" w:rsidR="00CF02EF" w:rsidRPr="00DB131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81207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/202</w:t>
            </w:r>
            <w:r w:rsidR="00B623D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7575CD6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14CD63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C1D0D9" w14:textId="1938C450" w:rsidR="00807DE1" w:rsidRPr="00DB131F" w:rsidRDefault="00A01AC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807DE1" w:rsidRPr="00DB131F" w14:paraId="535FEAA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355C79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D6469E" w14:textId="0527D2FB" w:rsidR="00807DE1" w:rsidRPr="00DB131F" w:rsidRDefault="00B623D6" w:rsidP="00B623D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  <w:r w:rsidR="00CF02EF"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/9/</w:t>
            </w:r>
            <w:r w:rsidR="00B3459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812073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</w:tr>
      <w:tr w:rsidR="00807DE1" w:rsidRPr="00DB131F" w14:paraId="10F4D030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1BAA912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A6BC0" w:rsidRPr="00DB131F" w14:paraId="24E07179" w14:textId="77777777" w:rsidTr="0029221B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14:paraId="1AE38134" w14:textId="27E2DE12" w:rsidR="007A6BC0" w:rsidRPr="002E1A15" w:rsidRDefault="00A01AC0" w:rsidP="00A01AC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تعريف الطمبة بأهم جرائم حزب البعث في ا ا لعرق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. .2 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تسميط الضوء عمى االنتهاكات الخطيرة لحقوق االنسان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. .3 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شرح مفصل لتعريف باالنتهاكات الحاصمة في ظل النظام السابق 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.4 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بيان حقائق هذا النظام الجائر من االجيال التي لم تمر بمراحل حكمه</w:t>
            </w:r>
            <w:r w:rsidRPr="00A01AC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  <w:r>
              <w:t xml:space="preserve"> </w:t>
            </w:r>
          </w:p>
        </w:tc>
      </w:tr>
    </w:tbl>
    <w:p w14:paraId="4BBEB36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576AB259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DF47CF5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1CAA22A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348D72D" w14:textId="77777777" w:rsidR="008A3F48" w:rsidRPr="00A01AC0" w:rsidRDefault="008A3F48" w:rsidP="00A01AC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A01AC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أ- </w:t>
            </w:r>
            <w:r w:rsidR="00B86BB1" w:rsidRPr="00A01AC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>الاهداف المعرفية</w:t>
            </w:r>
            <w:r w:rsidRPr="00A01AC0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0CD2105E" w14:textId="0939706D" w:rsidR="008A3F48" w:rsidRPr="00A01AC0" w:rsidRDefault="00675725" w:rsidP="00A01AC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 w:rsidRPr="00A01AC0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- 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دراسة اىم ال اجرئم المرتكبة من قبل نظام البعث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. - 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الكشف عن طبيعة ال اجرئم الحاصمة من قبل نظام البعث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. - 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>توضيح الىم ىذه ال اجرئم وما آالت اليو من نتائج خطيرة انعكست عمى الواقع طالت جميع القطاعات دون استثناء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.</w:t>
            </w:r>
            <w:r w:rsidR="00A01AC0" w:rsidRPr="00A01AC0">
              <w:rPr>
                <w:rFonts w:ascii="Cambria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A3F48" w:rsidRPr="00DB131F" w14:paraId="04CE7A5B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05BC120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2F3240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العلمية</w:t>
            </w:r>
          </w:p>
          <w:p w14:paraId="24B8FBC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مهارات القيادة</w:t>
            </w:r>
          </w:p>
          <w:p w14:paraId="679FCAB8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المتعلقة بتحديات العمل الإداري</w:t>
            </w:r>
          </w:p>
          <w:p w14:paraId="1B0D7309" w14:textId="3B28E556" w:rsidR="008A3F48" w:rsidRPr="00675725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707798A" w14:textId="1A256663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18D17F81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0038A9A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FA9BD4C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FF8B0DE" w14:textId="77777777" w:rsidR="00675725" w:rsidRPr="00675725" w:rsidRDefault="007A6BC0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المحاضرات المعدة مسبقاً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62A6243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ما يصل إلى أحدث البيانات يظهر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AC83D95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العمل في المنزل</w:t>
            </w:r>
          </w:p>
          <w:p w14:paraId="0EEF2A5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اعتماد المناقشات الجماعية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81539CD" w14:textId="083706D9" w:rsidR="008A3F48" w:rsidRPr="00DB131F" w:rsidRDefault="007A6BC0" w:rsidP="000B1D9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1574FB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D98D3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AEF0BE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833A4B4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4DCFCE8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2F41883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B516CF1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1. الأمتحانات الفصلية والنهائية.</w:t>
            </w:r>
          </w:p>
          <w:p w14:paraId="2DCD5615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2. الأختبارات السريعة.</w:t>
            </w:r>
          </w:p>
          <w:p w14:paraId="396C3946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3. المناقشات وأجابات الطلبة وتقييمها.</w:t>
            </w:r>
          </w:p>
          <w:p w14:paraId="5A3B58E0" w14:textId="6A533E37" w:rsidR="008A3F48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4.التقارير والنشاطات الصفية.</w:t>
            </w:r>
          </w:p>
          <w:p w14:paraId="1686A398" w14:textId="02DD419F" w:rsidR="00CF02EF" w:rsidRPr="00DB131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5. تمارين</w:t>
            </w:r>
          </w:p>
          <w:p w14:paraId="31CD625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367D933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6C99CD5A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7141632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22045BC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C4100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4B6BB7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283818B5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524DA4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61D7487C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14:paraId="1B04A3B4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14:paraId="1C08DE06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14:paraId="1B3A5769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14:paraId="0B18AF20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08A98ED4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4D030A2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1A849B61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6BD91CE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35B09E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C55EF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D8DABC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4C4733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542E64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6C01F131" w14:textId="77777777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6C49A50A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4D517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3A299B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5AD2B5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525AD2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7307E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578FA61" w14:textId="77777777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218ED652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C0C274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F0E4F6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8C7EE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EDD723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63246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D405C4E" w14:textId="77777777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6D2A4F7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36E46B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E5973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E7EC1C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59A5B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3667F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F1C3FB" w14:textId="77777777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921FEC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387F4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78605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160D9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3C45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608597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50358449" w14:textId="77777777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0FF82AA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894AE5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0B183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AC0A4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1451D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956AF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4468AF2F" w14:textId="77777777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3020B65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000EE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49ACD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774DD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F2771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CE9CF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1EA1C36E" w14:textId="77777777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F1576C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AFF9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AD415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AF901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3705F6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EC9F2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ED311E7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5AEA9415" w14:textId="77777777" w:rsidTr="000B1D90">
        <w:trPr>
          <w:trHeight w:val="477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2629493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C56FE" w:rsidRPr="00DB131F" w14:paraId="14B12761" w14:textId="77777777" w:rsidTr="000B1D90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743FCACF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</w:tcPr>
          <w:p w14:paraId="304B7ECD" w14:textId="5B4C5863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  <w:r w:rsidRPr="009B33C3">
              <w:rPr>
                <w:rFonts w:ascii="Georgia" w:hAnsi="Georgia"/>
                <w:color w:val="1E1915"/>
                <w:u w:val="none"/>
              </w:rPr>
              <w:t>Person to Person 2</w:t>
            </w:r>
            <w:r w:rsidRPr="009B33C3">
              <w:rPr>
                <w:rFonts w:ascii="Georgia" w:hAnsi="Georgia" w:cs="Times New Roman"/>
                <w:color w:val="1E1915"/>
                <w:u w:val="none"/>
                <w:lang w:val="en-GB"/>
              </w:rPr>
              <w:t>:</w:t>
            </w:r>
            <w:r w:rsidRPr="009B33C3">
              <w:rPr>
                <w:rFonts w:ascii="Georgia" w:hAnsi="Georgia"/>
                <w:color w:val="1E1915"/>
                <w:u w:val="none"/>
              </w:rPr>
              <w:t xml:space="preserve"> Communicative Speaking and Listening Skills</w:t>
            </w:r>
          </w:p>
          <w:p w14:paraId="0FB0BF4A" w14:textId="6E988D79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</w:p>
          <w:p w14:paraId="4E545797" w14:textId="0326495E" w:rsidR="00AC56FE" w:rsidRPr="007A6BC0" w:rsidRDefault="00AC56FE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C56FE" w:rsidRPr="00DB131F" w14:paraId="5AA5A801" w14:textId="77777777" w:rsidTr="000B1D90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B4080D0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</w:tcPr>
          <w:p w14:paraId="3967F51D" w14:textId="12E178AC" w:rsidR="00AC56FE" w:rsidRPr="00530670" w:rsidRDefault="009B33C3" w:rsidP="009B33C3">
            <w:pPr>
              <w:rPr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49A9DD5" w14:textId="36F03A23" w:rsidR="00AC56FE" w:rsidRPr="00422D48" w:rsidRDefault="00AC56FE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</w:p>
        </w:tc>
      </w:tr>
      <w:tr w:rsidR="00AC56FE" w:rsidRPr="00DB131F" w14:paraId="2AA63B49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02B0DF9" w14:textId="77777777" w:rsidR="00AC56FE" w:rsidRPr="00DB131F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</w:tcPr>
          <w:p w14:paraId="2EC3DA9B" w14:textId="18DB6BF9" w:rsidR="00AC56FE" w:rsidRPr="00DB131F" w:rsidRDefault="00AC56FE" w:rsidP="00422D4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C56FE" w:rsidRPr="00DB131F" w14:paraId="4D52DCF1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63D243B" w14:textId="77777777" w:rsidR="00AC56FE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</w:tcPr>
          <w:p w14:paraId="32A3B491" w14:textId="6D5540C3" w:rsidR="00AC56FE" w:rsidRPr="00422D48" w:rsidRDefault="00AC56FE" w:rsidP="00AC56FE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7EF2E137" w14:textId="77777777" w:rsidR="00F80574" w:rsidRPr="00422D48" w:rsidRDefault="00F80574" w:rsidP="00F80574">
      <w:pPr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720BEBA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6B6E8C0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AAB3388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2671EDD3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المزيد من الدراسة العملية لزيادة مشاركة الطلاب وحل المشكلات والتفكير النقدي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BBD9190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-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 التجارب والتطورات في مجال علم اللغة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2864051" w14:textId="689FD0CB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لأعمال البحثية المنشورة في المجلات الوطنية والدولية في مجال اللغويات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4E5B968B" w14:textId="77777777" w:rsidR="00221F12" w:rsidRPr="00AC56FE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4E4A481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EB37" w14:textId="77777777" w:rsidR="008455C3" w:rsidRDefault="008455C3">
      <w:r>
        <w:separator/>
      </w:r>
    </w:p>
  </w:endnote>
  <w:endnote w:type="continuationSeparator" w:id="0">
    <w:p w14:paraId="0EF82F43" w14:textId="77777777" w:rsidR="008455C3" w:rsidRDefault="0084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2ABB3643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83F7CB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69FBC3E" w14:textId="3336C77D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422D48" w:rsidRPr="00422D48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905488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3D9C3CE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B1D610F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21698B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9DAE55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2DD83F28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28E3" w14:textId="77777777" w:rsidR="008455C3" w:rsidRDefault="008455C3">
      <w:r>
        <w:separator/>
      </w:r>
    </w:p>
  </w:footnote>
  <w:footnote w:type="continuationSeparator" w:id="0">
    <w:p w14:paraId="45EFFCED" w14:textId="77777777" w:rsidR="008455C3" w:rsidRDefault="0084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475C"/>
    <w:rsid w:val="000428A6"/>
    <w:rsid w:val="00056F46"/>
    <w:rsid w:val="00057CAA"/>
    <w:rsid w:val="00063AD7"/>
    <w:rsid w:val="00070BE9"/>
    <w:rsid w:val="0008002F"/>
    <w:rsid w:val="00090A55"/>
    <w:rsid w:val="000A1C7A"/>
    <w:rsid w:val="000A67F9"/>
    <w:rsid w:val="000A69B4"/>
    <w:rsid w:val="000B1D90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9433A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E1A15"/>
    <w:rsid w:val="002F032D"/>
    <w:rsid w:val="002F1537"/>
    <w:rsid w:val="002F3596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832C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22D48"/>
    <w:rsid w:val="004361D7"/>
    <w:rsid w:val="00455221"/>
    <w:rsid w:val="004662C5"/>
    <w:rsid w:val="0048407D"/>
    <w:rsid w:val="004A4634"/>
    <w:rsid w:val="004A6A6D"/>
    <w:rsid w:val="004D2002"/>
    <w:rsid w:val="004D3497"/>
    <w:rsid w:val="004D7799"/>
    <w:rsid w:val="004E0EBA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B2143"/>
    <w:rsid w:val="005C02D2"/>
    <w:rsid w:val="005C050F"/>
    <w:rsid w:val="005C71F0"/>
    <w:rsid w:val="005D644B"/>
    <w:rsid w:val="005D69BE"/>
    <w:rsid w:val="005F5029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5725"/>
    <w:rsid w:val="00677895"/>
    <w:rsid w:val="006D4F39"/>
    <w:rsid w:val="006E1E39"/>
    <w:rsid w:val="0075633E"/>
    <w:rsid w:val="007645B4"/>
    <w:rsid w:val="007676A8"/>
    <w:rsid w:val="007716A6"/>
    <w:rsid w:val="0078752C"/>
    <w:rsid w:val="0079031B"/>
    <w:rsid w:val="007A6BC0"/>
    <w:rsid w:val="007A7C20"/>
    <w:rsid w:val="007B0B99"/>
    <w:rsid w:val="007B21F5"/>
    <w:rsid w:val="007F319C"/>
    <w:rsid w:val="00807DE1"/>
    <w:rsid w:val="00812073"/>
    <w:rsid w:val="008455C3"/>
    <w:rsid w:val="008467A5"/>
    <w:rsid w:val="00867A6A"/>
    <w:rsid w:val="00867FFC"/>
    <w:rsid w:val="008718A4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5C4B"/>
    <w:rsid w:val="00967B24"/>
    <w:rsid w:val="0098449B"/>
    <w:rsid w:val="0098755F"/>
    <w:rsid w:val="009A07B9"/>
    <w:rsid w:val="009B33C3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1AC0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56FE"/>
    <w:rsid w:val="00AD37EA"/>
    <w:rsid w:val="00AD4058"/>
    <w:rsid w:val="00B04671"/>
    <w:rsid w:val="00B15F45"/>
    <w:rsid w:val="00B27F87"/>
    <w:rsid w:val="00B32265"/>
    <w:rsid w:val="00B34597"/>
    <w:rsid w:val="00B412FE"/>
    <w:rsid w:val="00B5102D"/>
    <w:rsid w:val="00B521B7"/>
    <w:rsid w:val="00B623D6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64B70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02EF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1795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9B0B6"/>
  <w15:docId w15:val="{A84D4168-3CAE-4988-925F-D581670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semiHidden/>
    <w:unhideWhenUsed/>
    <w:rsid w:val="00675725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5725"/>
    <w:rPr>
      <w:rFonts w:ascii="Consolas" w:hAnsi="Consolas" w:cs="Traditional Arabic"/>
      <w:lang w:val="en-US"/>
    </w:rPr>
  </w:style>
  <w:style w:type="character" w:styleId="Hyperlink">
    <w:name w:val="Hyperlink"/>
    <w:basedOn w:val="DefaultParagraphFont"/>
    <w:uiPriority w:val="99"/>
    <w:unhideWhenUsed/>
    <w:rsid w:val="00AC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65AD-9D0E-4C17-AE35-C755BA13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12</cp:revision>
  <cp:lastPrinted>2019-12-29T08:00:00Z</cp:lastPrinted>
  <dcterms:created xsi:type="dcterms:W3CDTF">2022-09-27T22:51:00Z</dcterms:created>
  <dcterms:modified xsi:type="dcterms:W3CDTF">2024-12-04T05:39:00Z</dcterms:modified>
</cp:coreProperties>
</file>