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DF7" w:rsidRDefault="00672DF7" w:rsidP="00672DF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672DF7" w:rsidRPr="004A7D3C" w:rsidRDefault="00672DF7" w:rsidP="008104F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8104F8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672DF7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672DF7" w:rsidRPr="004A7D3C" w:rsidRDefault="00672DF7" w:rsidP="008104F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8104F8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672DF7" w:rsidRPr="00BC3D6A" w:rsidRDefault="00672DF7" w:rsidP="00672DF7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سلمان الهلالي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479F6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المنشآت المالية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تعزيز قدرة الطالب على المعالجة المحاسبية للعمليات المالية في المصارف وشركات التأمين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Default="008104F8" w:rsidP="008104F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التعريف بالمصطلحات المستخدمة في المنشآت المالية.</w:t>
            </w:r>
          </w:p>
          <w:p w:rsidR="00F8070F" w:rsidRDefault="00F8070F" w:rsidP="00F8070F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التعريف بأنواع الشعب والعمليات الخاصة بالمصارف وآلية عملها.</w:t>
            </w:r>
          </w:p>
          <w:p w:rsidR="008104F8" w:rsidRPr="008104F8" w:rsidRDefault="008104F8" w:rsidP="008104F8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فهم القيود المحاسبية الخاصة </w:t>
            </w:r>
            <w:r w:rsidR="00F8070F">
              <w:rPr>
                <w:rFonts w:cs="Simplified Arabic" w:hint="cs"/>
                <w:b/>
                <w:bCs/>
                <w:sz w:val="32"/>
                <w:szCs w:val="32"/>
                <w:rtl/>
              </w:rPr>
              <w:t>بالعمليات المصرفية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8104F8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النظم المحاسبية المتخصصة / د. ثائر صبري محمود الغبان</w:t>
            </w:r>
          </w:p>
        </w:tc>
      </w:tr>
      <w:tr w:rsidR="00672DF7" w:rsidRPr="00384B08" w:rsidTr="00CB695C">
        <w:tc>
          <w:tcPr>
            <w:tcW w:w="2654" w:type="dxa"/>
            <w:vAlign w:val="center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F8070F" w:rsidP="00CB695C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المحاسبة في المنشآت المالية/  د. عباس العكيلي</w:t>
            </w:r>
          </w:p>
        </w:tc>
      </w:tr>
      <w:tr w:rsidR="00672DF7" w:rsidRPr="00384B08" w:rsidTr="00CB695C">
        <w:trPr>
          <w:trHeight w:val="654"/>
        </w:trPr>
        <w:tc>
          <w:tcPr>
            <w:tcW w:w="2654" w:type="dxa"/>
            <w:vMerge w:val="restart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72DF7" w:rsidRPr="00384B08" w:rsidTr="00CB695C">
        <w:tc>
          <w:tcPr>
            <w:tcW w:w="2654" w:type="dxa"/>
            <w:vMerge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الأول</w:t>
            </w:r>
          </w:p>
        </w:tc>
        <w:tc>
          <w:tcPr>
            <w:tcW w:w="1532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</w:t>
            </w:r>
          </w:p>
        </w:tc>
        <w:tc>
          <w:tcPr>
            <w:tcW w:w="1531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</w:t>
            </w:r>
          </w:p>
        </w:tc>
        <w:tc>
          <w:tcPr>
            <w:tcW w:w="1532" w:type="dxa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672DF7" w:rsidRPr="00384B08" w:rsidRDefault="0024074C" w:rsidP="00CB695C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672DF7" w:rsidRPr="00384B08" w:rsidTr="00CB695C">
        <w:tc>
          <w:tcPr>
            <w:tcW w:w="2654" w:type="dxa"/>
          </w:tcPr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672DF7" w:rsidRPr="00384B08" w:rsidRDefault="00672DF7" w:rsidP="00CB695C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672DF7" w:rsidRPr="00384B08" w:rsidRDefault="00672DF7" w:rsidP="00CB695C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72DF7" w:rsidRPr="00124165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3" name="Picture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72DF7" w:rsidRPr="004A7D3C" w:rsidRDefault="00672DF7" w:rsidP="00672DF7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672DF7" w:rsidRPr="004A7D3C" w:rsidRDefault="00672DF7" w:rsidP="00672DF7">
                      <w:pPr>
                        <w:jc w:val="center"/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72DF7" w:rsidRPr="004A7D3C" w:rsidRDefault="00672DF7" w:rsidP="00672DF7">
                      <w:pPr>
                        <w:jc w:val="center"/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672DF7" w:rsidRPr="004A7D3C" w:rsidRDefault="00672DF7" w:rsidP="00672DF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672DF7" w:rsidRPr="004A7D3C" w:rsidRDefault="00672DF7" w:rsidP="00DF7A1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DF7A1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 w:rsidR="00F8070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672DF7" w:rsidRPr="004A7D3C" w:rsidRDefault="00672DF7" w:rsidP="00672DF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672DF7" w:rsidRPr="004A7D3C" w:rsidRDefault="00672DF7" w:rsidP="00DF7A12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DF7A1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 w:rsidR="00F8070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DF7" w:rsidRDefault="00672DF7" w:rsidP="00672DF7">
      <w:pPr>
        <w:jc w:val="center"/>
        <w:rPr>
          <w:rtl/>
          <w:lang w:bidi="ar-IQ"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Default="00672DF7" w:rsidP="00672DF7">
      <w:pPr>
        <w:jc w:val="center"/>
        <w:rPr>
          <w:rtl/>
        </w:rPr>
      </w:pPr>
    </w:p>
    <w:p w:rsidR="00672DF7" w:rsidRPr="00BC3D6A" w:rsidRDefault="00672DF7" w:rsidP="00672DF7">
      <w:pPr>
        <w:jc w:val="center"/>
        <w:rPr>
          <w:rFonts w:ascii="Arial" w:hAnsi="Arial" w:cs="Arial"/>
          <w:sz w:val="16"/>
          <w:szCs w:val="16"/>
          <w:rtl/>
        </w:rPr>
      </w:pPr>
    </w:p>
    <w:p w:rsidR="00672DF7" w:rsidRDefault="00672DF7" w:rsidP="00672DF7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672DF7" w:rsidRPr="00384B08" w:rsidTr="00CB695C">
        <w:trPr>
          <w:cantSplit/>
          <w:trHeight w:val="988"/>
        </w:trPr>
        <w:tc>
          <w:tcPr>
            <w:tcW w:w="673" w:type="dxa"/>
            <w:textDirection w:val="btLr"/>
          </w:tcPr>
          <w:p w:rsidR="00672DF7" w:rsidRPr="00384B08" w:rsidRDefault="00672DF7" w:rsidP="00CB695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672DF7" w:rsidRPr="00653C57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AA5AB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22/ 9/ 20</w:t>
            </w:r>
            <w:r w:rsidR="00AA5ABB">
              <w:rPr>
                <w:rFonts w:hint="cs"/>
                <w:b/>
                <w:bCs/>
                <w:rtl/>
                <w:lang w:bidi="ar-IQ"/>
              </w:rPr>
              <w:t>2</w:t>
            </w: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طبيعة النشاط المصرفي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الخدمات التي تقدمها المصارف- خصائص الخدمة المصرفية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أنواع المصارف- النظام المحاسبي في المصارف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طبيعة الخدمات التي تقدمها المصارف والتعرف على أنواع المصارف إضافة إلى القاء الضوء على طبيعة النظام المحاسبي في المصارف.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8706FF" w:rsidRPr="00384B08" w:rsidRDefault="00DF7A12" w:rsidP="008706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29/9/ 2024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أمانة الصندوق</w:t>
            </w:r>
          </w:p>
        </w:tc>
        <w:tc>
          <w:tcPr>
            <w:tcW w:w="2268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بشعبة أمانة الصندوق</w:t>
            </w:r>
          </w:p>
        </w:tc>
        <w:tc>
          <w:tcPr>
            <w:tcW w:w="3969" w:type="dxa"/>
            <w:vAlign w:val="center"/>
          </w:tcPr>
          <w:p w:rsidR="00672DF7" w:rsidRPr="00384B08" w:rsidRDefault="00F8070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العمليات التي تجري في شعبة الصندوق سواء في الإدارة العامة للمصرف أو في الفروع التابعة</w:t>
            </w:r>
            <w:r w:rsidR="006E2ACF">
              <w:rPr>
                <w:rFonts w:hint="cs"/>
                <w:b/>
                <w:bCs/>
                <w:rtl/>
              </w:rPr>
              <w:t xml:space="preserve"> واجراء المطابقة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6E2ACF" w:rsidRPr="00384B08" w:rsidTr="00CB695C">
        <w:tc>
          <w:tcPr>
            <w:tcW w:w="673" w:type="dxa"/>
          </w:tcPr>
          <w:p w:rsidR="006E2ACF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8706FF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 10/ 2024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الحسابات الجارية</w:t>
            </w:r>
          </w:p>
        </w:tc>
        <w:tc>
          <w:tcPr>
            <w:tcW w:w="2268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الحسابات الجارية </w:t>
            </w:r>
          </w:p>
        </w:tc>
        <w:tc>
          <w:tcPr>
            <w:tcW w:w="3969" w:type="dxa"/>
            <w:vAlign w:val="center"/>
          </w:tcPr>
          <w:p w:rsidR="006E2ACF" w:rsidRDefault="006E2ACF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بالحسابات الجارية الدائنة والحسابات الجارية المدينة.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8706FF" w:rsidRPr="00384B08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 10/ 2024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حسابات التوفير </w:t>
            </w:r>
          </w:p>
        </w:tc>
        <w:tc>
          <w:tcPr>
            <w:tcW w:w="2268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لشعبة حسابات التوفير </w:t>
            </w:r>
          </w:p>
        </w:tc>
        <w:tc>
          <w:tcPr>
            <w:tcW w:w="3969" w:type="dxa"/>
            <w:vAlign w:val="center"/>
          </w:tcPr>
          <w:p w:rsidR="00672DF7" w:rsidRPr="00384B08" w:rsidRDefault="006E2ACF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التعامل مع حالات الايداع والسحب التي تجري في شعبة التوفير.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8706FF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20/ 10/ 2024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الودائع</w:t>
            </w:r>
          </w:p>
        </w:tc>
        <w:tc>
          <w:tcPr>
            <w:tcW w:w="2268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لشعبة الودائع</w:t>
            </w:r>
          </w:p>
        </w:tc>
        <w:tc>
          <w:tcPr>
            <w:tcW w:w="3969" w:type="dxa"/>
            <w:vAlign w:val="center"/>
          </w:tcPr>
          <w:p w:rsidR="00EB3C3C" w:rsidRDefault="00EB3C3C" w:rsidP="00EB3C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الودائع مع التركيز على الودائع النقدية الثابتة واحتساب الفائدة.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8706FF" w:rsidRPr="00384B08" w:rsidRDefault="00DF7A12" w:rsidP="008706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27/ 10/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خصم الأوراق التجارية وتحصيلها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الخاصة بالكمبيالات والحوالات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العمليات الخاصة بالكمبيالات والحوالات وكيفية احتساب الفوائد عنها.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1E16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 11/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الداخلية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الداخلية المباعة والمبتاعة والسفاتج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كيفية التمييز بي العمليات الخاصة بالحوالات الداخلية المباعة والمبتاعة والسفاتج المسحوبة على المصرف.</w:t>
            </w:r>
          </w:p>
        </w:tc>
      </w:tr>
      <w:tr w:rsidR="00EB3C3C" w:rsidRPr="00384B08" w:rsidTr="00CB695C">
        <w:tc>
          <w:tcPr>
            <w:tcW w:w="673" w:type="dxa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EB3C3C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 11/ 2024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السعي</w:t>
            </w:r>
          </w:p>
        </w:tc>
        <w:tc>
          <w:tcPr>
            <w:tcW w:w="2268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EB3C3C" w:rsidRDefault="00EB3C3C" w:rsidP="00CB695C">
            <w:pPr>
              <w:jc w:val="center"/>
              <w:rPr>
                <w:b/>
                <w:bCs/>
                <w:rtl/>
              </w:rPr>
            </w:pP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 11/ 2024</w:t>
            </w:r>
          </w:p>
          <w:p w:rsidR="008706FF" w:rsidRPr="00384B08" w:rsidRDefault="008706FF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شعبة الحوالات الخارجية 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107E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للحوالات الخارجية المباعة وشيكات المسافرين والمبتاعة والحوالات الخارجية المسحوبة على المصرف والحوالات الخارجية المسحوبة على المصرف برسم التغطية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أنواع الحوالات الخارجية وكيفية التعامل مع 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672DF7" w:rsidRDefault="00672DF7" w:rsidP="00CB695C">
            <w:pPr>
              <w:jc w:val="center"/>
              <w:rPr>
                <w:b/>
                <w:bCs/>
                <w:rtl/>
              </w:rPr>
            </w:pPr>
          </w:p>
          <w:p w:rsidR="00B16187" w:rsidRPr="00384B08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 11/ 2024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الحوالات والاعتمادات المستندية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المعالجات المحاسبية الخاصة بالاعتمادات المستندية الصادرة </w:t>
            </w:r>
            <w:r>
              <w:rPr>
                <w:rFonts w:hint="cs"/>
                <w:b/>
                <w:bCs/>
                <w:rtl/>
              </w:rPr>
              <w:lastRenderedPageBreak/>
              <w:t>للاستيراد والواردة للتصدير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التمييز بين أنواع الاعتمادات المستندية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1/ 12/ 2024</w:t>
            </w:r>
          </w:p>
          <w:p w:rsidR="00B16187" w:rsidRPr="00384B08" w:rsidRDefault="00B16187" w:rsidP="00B161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شعبة خطابات الضمان</w:t>
            </w:r>
          </w:p>
        </w:tc>
        <w:tc>
          <w:tcPr>
            <w:tcW w:w="2268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لخطابات الضمان الداخلية والخارجية</w:t>
            </w:r>
          </w:p>
        </w:tc>
        <w:tc>
          <w:tcPr>
            <w:tcW w:w="3969" w:type="dxa"/>
            <w:vAlign w:val="center"/>
          </w:tcPr>
          <w:p w:rsidR="00672DF7" w:rsidRPr="00384B08" w:rsidRDefault="00107E9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التمييز بين انواع خطابات الضمان والمعالجات المحاسبية الخاصة بكل نوع.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8/12/ 2024</w:t>
            </w:r>
          </w:p>
          <w:p w:rsidR="00B16187" w:rsidRPr="00384B08" w:rsidRDefault="00B1618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المحاسبة في شركات التأمين </w:t>
            </w:r>
          </w:p>
        </w:tc>
        <w:tc>
          <w:tcPr>
            <w:tcW w:w="2268" w:type="dxa"/>
            <w:vAlign w:val="center"/>
          </w:tcPr>
          <w:p w:rsidR="00632525" w:rsidRDefault="00632525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التأمين</w:t>
            </w:r>
          </w:p>
          <w:p w:rsidR="00672DF7" w:rsidRPr="00384B08" w:rsidRDefault="00632525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="00EB3C3C">
              <w:rPr>
                <w:rFonts w:hint="cs"/>
                <w:b/>
                <w:bCs/>
                <w:rtl/>
              </w:rPr>
              <w:t>عقد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EB3C3C" w:rsidP="0063252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التعريف بالتأمين </w:t>
            </w:r>
            <w:r w:rsidR="00632525">
              <w:rPr>
                <w:rFonts w:hint="cs"/>
                <w:b/>
                <w:bCs/>
                <w:rtl/>
              </w:rPr>
              <w:t>وأهميته وخصائصه وأنواعه إضافة إلى فهم عناصر عقد التأمين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672DF7" w:rsidRPr="00384B08" w:rsidRDefault="00DF7A12" w:rsidP="001E16B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15/ 12/ 2024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المحاسبة في شركات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عقد إعادة التأمين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الاختلاف بين عقد التأمين وعقد إعادة التأمين إضافة إلى توضيح عناصر عقد إعادة التأمين.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22/ 12/ 2024</w:t>
            </w:r>
          </w:p>
          <w:p w:rsidR="00B16187" w:rsidRPr="00384B08" w:rsidRDefault="00B1618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معالجة حسابات التأمين</w:t>
            </w:r>
          </w:p>
        </w:tc>
        <w:tc>
          <w:tcPr>
            <w:tcW w:w="2268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المعالجات المحاسبية لمصاريف وايرادات العمليات التأمينية</w:t>
            </w:r>
          </w:p>
        </w:tc>
        <w:tc>
          <w:tcPr>
            <w:tcW w:w="3969" w:type="dxa"/>
            <w:vAlign w:val="center"/>
          </w:tcPr>
          <w:p w:rsidR="00672DF7" w:rsidRPr="00384B08" w:rsidRDefault="00632525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تسجيل القيود الخاصة بمصاريف وايرادات العمليات التأ</w:t>
            </w:r>
          </w:p>
        </w:tc>
      </w:tr>
      <w:tr w:rsidR="00672DF7" w:rsidRPr="00384B08" w:rsidTr="00CB695C">
        <w:tc>
          <w:tcPr>
            <w:tcW w:w="673" w:type="dxa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:rsidR="00672DF7" w:rsidRDefault="00DF7A12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 1/ 2025</w:t>
            </w:r>
          </w:p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Align w:val="center"/>
          </w:tcPr>
          <w:p w:rsidR="00672DF7" w:rsidRPr="00384B08" w:rsidRDefault="00EB3C3C" w:rsidP="00CB69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نهاية الكورس </w:t>
            </w:r>
          </w:p>
        </w:tc>
        <w:tc>
          <w:tcPr>
            <w:tcW w:w="2268" w:type="dxa"/>
            <w:vAlign w:val="center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  <w:vAlign w:val="center"/>
          </w:tcPr>
          <w:p w:rsidR="00672DF7" w:rsidRPr="00384B08" w:rsidRDefault="00672DF7" w:rsidP="00CB695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72DF7" w:rsidRDefault="00672DF7" w:rsidP="00672DF7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672DF7" w:rsidRDefault="00672DF7" w:rsidP="00081B8E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 w:rsidR="00081B8E">
        <w:rPr>
          <w:rFonts w:hint="cs"/>
          <w:b/>
          <w:bCs/>
          <w:rtl/>
        </w:rPr>
        <w:t xml:space="preserve"> م.م زينب جعفر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  <w:r w:rsidR="00081B8E">
        <w:rPr>
          <w:rFonts w:hint="cs"/>
          <w:b/>
          <w:bCs/>
          <w:rtl/>
        </w:rPr>
        <w:t>د. عبد الكريم عبد الغني</w:t>
      </w:r>
    </w:p>
    <w:p w:rsidR="00672DF7" w:rsidRDefault="00672DF7" w:rsidP="00672DF7">
      <w:pPr>
        <w:rPr>
          <w:b/>
          <w:bCs/>
          <w:rtl/>
          <w:lang w:bidi="ar-IQ"/>
        </w:rPr>
      </w:pPr>
    </w:p>
    <w:p w:rsidR="00672DF7" w:rsidRPr="002D3FF6" w:rsidRDefault="00672DF7" w:rsidP="00672DF7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500C7F" w:rsidRPr="00672DF7" w:rsidRDefault="00500C7F"/>
    <w:sectPr w:rsidR="00500C7F" w:rsidRPr="00672DF7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3F07"/>
    <w:multiLevelType w:val="hybridMultilevel"/>
    <w:tmpl w:val="717E7162"/>
    <w:lvl w:ilvl="0" w:tplc="D272D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F7"/>
    <w:rsid w:val="00002998"/>
    <w:rsid w:val="00081B8E"/>
    <w:rsid w:val="00107E92"/>
    <w:rsid w:val="00110C99"/>
    <w:rsid w:val="001E16B5"/>
    <w:rsid w:val="0024074C"/>
    <w:rsid w:val="002C0288"/>
    <w:rsid w:val="003F0444"/>
    <w:rsid w:val="004B6850"/>
    <w:rsid w:val="00500C7F"/>
    <w:rsid w:val="00632525"/>
    <w:rsid w:val="00672DF7"/>
    <w:rsid w:val="006E2ACF"/>
    <w:rsid w:val="008104F8"/>
    <w:rsid w:val="008706FF"/>
    <w:rsid w:val="0098677B"/>
    <w:rsid w:val="00A62AFF"/>
    <w:rsid w:val="00AA5ABB"/>
    <w:rsid w:val="00B16187"/>
    <w:rsid w:val="00B66838"/>
    <w:rsid w:val="00D81307"/>
    <w:rsid w:val="00DF7A12"/>
    <w:rsid w:val="00EB3C3C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2024-11-08T23:47:00Z</dcterms:created>
  <dcterms:modified xsi:type="dcterms:W3CDTF">2024-11-08T23:47:00Z</dcterms:modified>
</cp:coreProperties>
</file>