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افتراضي"/>
        <w:suppressAutoHyphens w:val="1"/>
        <w:bidi w:val="0"/>
        <w:spacing w:before="0" w:after="213" w:line="240" w:lineRule="auto"/>
        <w:ind w:left="0" w:right="0" w:firstLine="0"/>
        <w:jc w:val="left"/>
        <w:rPr>
          <w:rFonts w:ascii="Helvetica" w:hAnsi="Helvetica"/>
          <w:sz w:val="29"/>
          <w:szCs w:val="29"/>
          <w:rtl w:val="0"/>
        </w:rPr>
      </w:pPr>
    </w:p>
    <w:p>
      <w:pPr>
        <w:pStyle w:val="الافتراضي"/>
        <w:suppressAutoHyphens w:val="1"/>
        <w:bidi w:val="0"/>
        <w:spacing w:before="0" w:after="213" w:line="240" w:lineRule="auto"/>
        <w:ind w:left="0" w:right="0" w:firstLine="0"/>
        <w:jc w:val="left"/>
        <w:rPr>
          <w:rFonts w:ascii="Helvetica" w:cs="Helvetica" w:hAnsi="Helvetica" w:eastAsia="Helvetica"/>
          <w:sz w:val="29"/>
          <w:szCs w:val="29"/>
          <w:rtl w:val="0"/>
        </w:rPr>
      </w:pPr>
      <w:r>
        <w:rPr>
          <w:rFonts w:ascii="Helvetica" w:hAnsi="Helvetica" w:hint="default"/>
          <w:sz w:val="29"/>
          <w:szCs w:val="29"/>
          <w:rtl w:val="0"/>
        </w:rPr>
        <w:t> </w:t>
      </w:r>
    </w:p>
    <w:tbl>
      <w:tblPr>
        <w:tblW w:w="96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333"/>
        <w:gridCol w:w="8305"/>
      </w:tblGrid>
      <w:tr>
        <w:tblPrEx>
          <w:shd w:val="clear" w:color="auto" w:fill="auto"/>
        </w:tblPrEx>
        <w:trPr>
          <w:trHeight w:val="1219" w:hRule="atLeast"/>
        </w:trPr>
        <w:tc>
          <w:tcPr>
            <w:tcW w:type="dxa" w:w="9638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de9d8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center"/>
              <w:rPr>
                <w:rFonts w:ascii="Helvetica" w:cs="Helvetica" w:hAnsi="Helvetica" w:eastAsia="Helvetica"/>
                <w:b w:val="0"/>
                <w:bCs w:val="0"/>
                <w:outline w:val="0"/>
                <w:color w:val="000000"/>
                <w:sz w:val="28"/>
                <w:szCs w:val="28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Helvetica" w:hAnsi="Helvetica"/>
                <w:b w:val="1"/>
                <w:bCs w:val="1"/>
                <w:outline w:val="0"/>
                <w:color w:val="17355d"/>
                <w:sz w:val="28"/>
                <w:szCs w:val="28"/>
                <w:rtl w:val="0"/>
                <w:lang w:val="en-US"/>
                <w14:textFill>
                  <w14:solidFill>
                    <w14:srgbClr w14:val="17365D"/>
                  </w14:solidFill>
                </w14:textFill>
              </w:rPr>
              <w:t>Delivery Plan (Weekly Syllabus)</w:t>
            </w:r>
          </w:p>
          <w:p>
            <w:pPr>
              <w:pStyle w:val="نمط الجدول ٢"/>
              <w:suppressAutoHyphens w:val="1"/>
              <w:spacing w:after="213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17355d"/>
                <w:sz w:val="28"/>
                <w:szCs w:val="28"/>
                <w:rtl w:val="1"/>
                <w:lang w:val="ar-SA" w:bidi="ar-SA"/>
                <w14:textFill>
                  <w14:solidFill>
                    <w14:srgbClr w14:val="17365D"/>
                  </w14:solidFill>
                </w14:textFill>
              </w:rPr>
              <w:t>المنهاج الاسبوعي النظري</w:t>
            </w:r>
          </w:p>
        </w:tc>
      </w:tr>
      <w:tr>
        <w:tblPrEx>
          <w:shd w:val="clear" w:color="auto" w:fill="auto"/>
        </w:tblPrEx>
        <w:trPr>
          <w:trHeight w:val="547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eebf6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Material Covered</w:t>
            </w:r>
          </w:p>
        </w:tc>
      </w:tr>
      <w:tr>
        <w:tblPrEx>
          <w:shd w:val="clear" w:color="auto" w:fill="auto"/>
        </w:tblPrEx>
        <w:trPr>
          <w:trHeight w:val="572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1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تعريف التسويق وما هي مفاهيم التسويق</w:t>
            </w:r>
          </w:p>
        </w:tc>
      </w:tr>
      <w:tr>
        <w:tblPrEx>
          <w:shd w:val="clear" w:color="auto" w:fill="auto"/>
        </w:tblPrEx>
        <w:trPr>
          <w:trHeight w:val="572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2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البيئة التسويقية العامة</w:t>
            </w:r>
          </w:p>
        </w:tc>
      </w:tr>
      <w:tr>
        <w:tblPrEx>
          <w:shd w:val="clear" w:color="auto" w:fill="auto"/>
        </w:tblPrEx>
        <w:trPr>
          <w:trHeight w:val="474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3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إدارة التسويق</w:t>
            </w:r>
          </w:p>
        </w:tc>
      </w:tr>
      <w:tr>
        <w:tblPrEx>
          <w:shd w:val="clear" w:color="auto" w:fill="auto"/>
        </w:tblPrEx>
        <w:trPr>
          <w:trHeight w:val="572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4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البيئة التسويقية</w:t>
            </w:r>
          </w:p>
        </w:tc>
      </w:tr>
      <w:tr>
        <w:tblPrEx>
          <w:shd w:val="clear" w:color="auto" w:fill="auto"/>
        </w:tblPrEx>
        <w:trPr>
          <w:trHeight w:val="572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5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المزيج التسويقي</w:t>
            </w:r>
          </w:p>
        </w:tc>
      </w:tr>
      <w:tr>
        <w:tblPrEx>
          <w:shd w:val="clear" w:color="auto" w:fill="auto"/>
        </w:tblPrEx>
        <w:trPr>
          <w:trHeight w:val="572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6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نظام المعلومات التسويقي</w:t>
            </w:r>
          </w:p>
        </w:tc>
      </w:tr>
      <w:tr>
        <w:tblPrEx>
          <w:shd w:val="clear" w:color="auto" w:fill="auto"/>
        </w:tblPrEx>
        <w:trPr>
          <w:trHeight w:val="572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7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تصميم البحث التسويقي</w:t>
            </w:r>
          </w:p>
        </w:tc>
      </w:tr>
      <w:tr>
        <w:tblPrEx>
          <w:shd w:val="clear" w:color="auto" w:fill="auto"/>
        </w:tblPrEx>
        <w:trPr>
          <w:trHeight w:val="1129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8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 xml:space="preserve">التاجر </w:t>
            </w:r>
            <w:r>
              <w:rPr>
                <w:rFonts w:ascii="Geeza Pro Regular" w:hAnsi="Geeza Pro Regular"/>
                <w:sz w:val="28"/>
                <w:szCs w:val="28"/>
                <w:rtl w:val="1"/>
              </w:rPr>
              <w:t>(</w:t>
            </w: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الشخص الطبيعي</w:t>
            </w:r>
            <w:r>
              <w:rPr>
                <w:rFonts w:ascii="Geeza Pro Regular" w:hAnsi="Geeza Pro Regular"/>
                <w:sz w:val="28"/>
                <w:szCs w:val="28"/>
                <w:rtl w:val="1"/>
              </w:rPr>
              <w:t>)</w:t>
            </w: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 xml:space="preserve">التاجر </w:t>
            </w:r>
            <w:r>
              <w:rPr>
                <w:rFonts w:ascii="Geeza Pro Regular" w:hAnsi="Geeza Pro Regular"/>
                <w:sz w:val="28"/>
                <w:szCs w:val="28"/>
                <w:rtl w:val="1"/>
              </w:rPr>
              <w:t xml:space="preserve">( </w:t>
            </w: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 xml:space="preserve">الشخص المعنوي </w:t>
            </w:r>
            <w:r>
              <w:rPr>
                <w:rFonts w:ascii="Geeza Pro Regular" w:hAnsi="Geeza Pro Regular"/>
                <w:sz w:val="28"/>
                <w:szCs w:val="28"/>
                <w:rtl w:val="1"/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واجبات التاجر</w:t>
            </w:r>
          </w:p>
        </w:tc>
      </w:tr>
      <w:tr>
        <w:tblPrEx>
          <w:shd w:val="clear" w:color="auto" w:fill="auto"/>
        </w:tblPrEx>
        <w:trPr>
          <w:trHeight w:val="572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9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المنتج</w:t>
            </w:r>
          </w:p>
        </w:tc>
      </w:tr>
      <w:tr>
        <w:tblPrEx>
          <w:shd w:val="clear" w:color="auto" w:fill="auto"/>
        </w:tblPrEx>
        <w:trPr>
          <w:trHeight w:val="687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10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دورة حياة المنتج</w:t>
            </w:r>
          </w:p>
        </w:tc>
      </w:tr>
      <w:tr>
        <w:tblPrEx>
          <w:shd w:val="clear" w:color="auto" w:fill="auto"/>
        </w:tblPrEx>
        <w:trPr>
          <w:trHeight w:val="1129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11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 xml:space="preserve">الشركة العامة </w:t>
            </w:r>
            <w:r>
              <w:rPr>
                <w:rFonts w:ascii="Geeza Pro Regular" w:hAnsi="Geeza Pro Regular"/>
                <w:sz w:val="28"/>
                <w:szCs w:val="28"/>
                <w:rtl w:val="1"/>
              </w:rPr>
              <w:t xml:space="preserve">, </w:t>
            </w: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 xml:space="preserve">إجراءات التأسيس </w:t>
            </w:r>
            <w:r>
              <w:rPr>
                <w:rFonts w:ascii="Geeza Pro Regular" w:hAnsi="Geeza Pro Regular"/>
                <w:sz w:val="28"/>
                <w:szCs w:val="28"/>
                <w:rtl w:val="1"/>
              </w:rPr>
              <w:t xml:space="preserve">, </w:t>
            </w: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 xml:space="preserve">تكوين راس المال </w:t>
            </w:r>
            <w:r>
              <w:rPr>
                <w:rFonts w:ascii="Geeza Pro Regular" w:hAnsi="Geeza Pro Regular"/>
                <w:sz w:val="28"/>
                <w:szCs w:val="28"/>
                <w:rtl w:val="1"/>
              </w:rPr>
              <w:t xml:space="preserve">, </w:t>
            </w: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توزيع الأرباح</w:t>
            </w:r>
          </w:p>
        </w:tc>
      </w:tr>
      <w:tr>
        <w:tblPrEx>
          <w:shd w:val="clear" w:color="auto" w:fill="auto"/>
        </w:tblPrEx>
        <w:trPr>
          <w:trHeight w:val="687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12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إدارة التعاقدات الحكومية</w:t>
            </w:r>
          </w:p>
        </w:tc>
      </w:tr>
      <w:tr>
        <w:tblPrEx>
          <w:shd w:val="clear" w:color="auto" w:fill="auto"/>
        </w:tblPrEx>
        <w:trPr>
          <w:trHeight w:val="687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13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الأوراق التجارية المفهوم الاحكام العامة للأوراق التجارية</w:t>
            </w:r>
          </w:p>
        </w:tc>
      </w:tr>
      <w:tr>
        <w:tblPrEx>
          <w:shd w:val="clear" w:color="auto" w:fill="auto"/>
        </w:tblPrEx>
        <w:trPr>
          <w:trHeight w:val="687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14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دمج الشركات وتصفيتها</w:t>
            </w:r>
          </w:p>
        </w:tc>
      </w:tr>
      <w:tr>
        <w:tblPrEx>
          <w:shd w:val="clear" w:color="auto" w:fill="auto"/>
        </w:tblPrEx>
        <w:trPr>
          <w:trHeight w:val="687" w:hRule="atLeast"/>
        </w:trPr>
        <w:tc>
          <w:tcPr>
            <w:tcW w:type="dxa" w:w="1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9edf2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24"/>
              <w:jc w:val="center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</w:rPr>
              <w:t>Week 15</w:t>
            </w:r>
          </w:p>
        </w:tc>
        <w:tc>
          <w:tcPr>
            <w:tcW w:type="dxa" w:w="8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44"/>
              <w:bottom w:type="dxa" w:w="0"/>
              <w:right w:type="dxa" w:w="144"/>
            </w:tcMar>
            <w:vAlign w:val="center"/>
          </w:tcPr>
          <w:p>
            <w:pPr>
              <w:pStyle w:val="نمط الجدول ٢"/>
              <w:suppressAutoHyphens w:val="1"/>
              <w:bidi w:val="0"/>
              <w:spacing w:after="213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</w:rPr>
              <w:t>مراجعة عامة</w:t>
            </w:r>
          </w:p>
        </w:tc>
      </w:tr>
    </w:tbl>
    <w:p>
      <w:pPr>
        <w:pStyle w:val="الافتراضي"/>
        <w:suppressAutoHyphens w:val="1"/>
        <w:bidi w:val="0"/>
        <w:spacing w:before="0" w:after="213" w:line="240" w:lineRule="auto"/>
        <w:ind w:left="0" w:right="0" w:firstLine="0"/>
        <w:jc w:val="left"/>
        <w:rPr>
          <w:rFonts w:ascii="Helvetica" w:cs="Helvetica" w:hAnsi="Helvetica" w:eastAsia="Helvetica"/>
          <w:sz w:val="29"/>
          <w:szCs w:val="29"/>
          <w:rtl w:val="0"/>
        </w:rPr>
      </w:pPr>
    </w:p>
    <w:p>
      <w:pPr>
        <w:pStyle w:val="الافتراضي"/>
        <w:suppressAutoHyphens w:val="1"/>
        <w:bidi w:val="0"/>
        <w:spacing w:before="0" w:after="213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 w:hint="default"/>
          <w:sz w:val="29"/>
          <w:szCs w:val="29"/>
          <w:rtl w:val="0"/>
        </w:rPr>
        <w:t> 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مط الجدول ٢">
    <w:name w:val="نمط الجدول ٢"/>
    <w:next w:val="نمط الجدول ٢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